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BEE2" w14:textId="77777777" w:rsidR="00781FAD" w:rsidRDefault="00781FAD" w:rsidP="00FE5432">
      <w:pPr>
        <w:spacing w:line="480" w:lineRule="auto"/>
        <w:rPr>
          <w:rFonts w:ascii="Times New Roman" w:hAnsi="Times New Roman" w:cs="Times New Roman"/>
          <w:b/>
          <w:bCs/>
          <w:i/>
          <w:iCs/>
        </w:rPr>
      </w:pPr>
    </w:p>
    <w:p w14:paraId="09150085" w14:textId="23AAC04B" w:rsidR="003E53AD" w:rsidRPr="00781FAD" w:rsidRDefault="00FF2E8C" w:rsidP="00FE5432">
      <w:pPr>
        <w:spacing w:line="480" w:lineRule="auto"/>
        <w:rPr>
          <w:rFonts w:ascii="Times New Roman" w:hAnsi="Times New Roman" w:cs="Times New Roman"/>
          <w:b/>
          <w:bCs/>
          <w:i/>
          <w:iCs/>
        </w:rPr>
      </w:pPr>
      <w:r w:rsidRPr="00781FAD">
        <w:rPr>
          <w:rFonts w:ascii="Times New Roman" w:hAnsi="Times New Roman" w:cs="Times New Roman"/>
          <w:b/>
          <w:bCs/>
          <w:i/>
          <w:iCs/>
        </w:rPr>
        <w:t>Compare the effectiveness of the Scottish Parliament’s committees and the House of Commons’ Public Bill Committees in influencing government bills</w:t>
      </w:r>
    </w:p>
    <w:p w14:paraId="023DF79B" w14:textId="77777777" w:rsidR="003E53AD" w:rsidRPr="00781FAD" w:rsidRDefault="003E53AD" w:rsidP="00FE543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DDD0DE7" w14:textId="3CF9B362" w:rsidR="004A4A2D" w:rsidRPr="00781FAD" w:rsidRDefault="004F524C" w:rsidP="00FE5432">
      <w:pPr>
        <w:spacing w:line="480" w:lineRule="auto"/>
        <w:ind w:firstLine="720"/>
        <w:rPr>
          <w:rFonts w:ascii="Times New Roman" w:eastAsia="Times New Roman" w:hAnsi="Times New Roman" w:cs="Times New Roman"/>
          <w:lang w:eastAsia="en-GB"/>
        </w:rPr>
      </w:pPr>
      <w:r w:rsidRPr="00781FAD">
        <w:rPr>
          <w:rFonts w:ascii="Times New Roman" w:eastAsia="Times New Roman" w:hAnsi="Times New Roman" w:cs="Times New Roman"/>
          <w:lang w:eastAsia="en-GB"/>
        </w:rPr>
        <w:t>T</w:t>
      </w:r>
      <w:r w:rsidR="00596EC3" w:rsidRPr="00781FAD">
        <w:rPr>
          <w:rFonts w:ascii="Times New Roman" w:eastAsia="Times New Roman" w:hAnsi="Times New Roman" w:cs="Times New Roman"/>
          <w:lang w:eastAsia="en-GB"/>
        </w:rPr>
        <w:t xml:space="preserve">his paper compares </w:t>
      </w:r>
      <w:r w:rsidR="008D1BB8" w:rsidRPr="00781FAD">
        <w:rPr>
          <w:rFonts w:ascii="Times New Roman" w:eastAsia="Times New Roman" w:hAnsi="Times New Roman" w:cs="Times New Roman"/>
          <w:lang w:eastAsia="en-GB"/>
        </w:rPr>
        <w:t>Scottish Parliament</w:t>
      </w:r>
      <w:r w:rsidR="00596EC3" w:rsidRPr="00781FAD">
        <w:rPr>
          <w:rFonts w:ascii="Times New Roman" w:eastAsia="Times New Roman" w:hAnsi="Times New Roman" w:cs="Times New Roman"/>
          <w:lang w:eastAsia="en-GB"/>
        </w:rPr>
        <w:t xml:space="preserve"> committees and </w:t>
      </w:r>
      <w:r w:rsidR="008D1BB8" w:rsidRPr="00781FAD">
        <w:rPr>
          <w:rFonts w:ascii="Times New Roman" w:eastAsia="Times New Roman" w:hAnsi="Times New Roman" w:cs="Times New Roman"/>
          <w:lang w:eastAsia="en-GB"/>
        </w:rPr>
        <w:t xml:space="preserve">the UK Parliament </w:t>
      </w:r>
      <w:r w:rsidR="00596EC3" w:rsidRPr="00781FAD">
        <w:rPr>
          <w:rFonts w:ascii="Times New Roman" w:eastAsia="Times New Roman" w:hAnsi="Times New Roman" w:cs="Times New Roman"/>
          <w:lang w:eastAsia="en-GB"/>
        </w:rPr>
        <w:t xml:space="preserve">House of Commons’ </w:t>
      </w:r>
      <w:r w:rsidRPr="00781FAD">
        <w:rPr>
          <w:rFonts w:ascii="Times New Roman" w:eastAsia="Times New Roman" w:hAnsi="Times New Roman" w:cs="Times New Roman"/>
          <w:lang w:eastAsia="en-GB"/>
        </w:rPr>
        <w:t>public bill committees (</w:t>
      </w:r>
      <w:r w:rsidR="00931994" w:rsidRPr="00781FAD">
        <w:rPr>
          <w:rFonts w:ascii="Times New Roman" w:eastAsia="Times New Roman" w:hAnsi="Times New Roman" w:cs="Times New Roman"/>
          <w:lang w:eastAsia="en-GB"/>
        </w:rPr>
        <w:t>PBCs</w:t>
      </w:r>
      <w:r w:rsidRPr="00781FAD">
        <w:rPr>
          <w:rFonts w:ascii="Times New Roman" w:eastAsia="Times New Roman" w:hAnsi="Times New Roman" w:cs="Times New Roman"/>
          <w:lang w:eastAsia="en-GB"/>
        </w:rPr>
        <w:t>)</w:t>
      </w:r>
      <w:r w:rsidR="00596EC3" w:rsidRPr="00781FAD">
        <w:rPr>
          <w:rFonts w:ascii="Times New Roman" w:eastAsia="Times New Roman" w:hAnsi="Times New Roman" w:cs="Times New Roman"/>
          <w:lang w:eastAsia="en-GB"/>
        </w:rPr>
        <w:t xml:space="preserve"> across two measures: securing of</w:t>
      </w:r>
      <w:r w:rsidR="005424E2" w:rsidRPr="00781FAD">
        <w:rPr>
          <w:rFonts w:ascii="Times New Roman" w:eastAsia="Times New Roman" w:hAnsi="Times New Roman" w:cs="Times New Roman"/>
          <w:lang w:eastAsia="en-GB"/>
        </w:rPr>
        <w:t xml:space="preserve"> </w:t>
      </w:r>
      <w:r w:rsidR="00596EC3" w:rsidRPr="00781FAD">
        <w:rPr>
          <w:rFonts w:ascii="Times New Roman" w:eastAsia="Times New Roman" w:hAnsi="Times New Roman" w:cs="Times New Roman"/>
          <w:lang w:eastAsia="en-GB"/>
        </w:rPr>
        <w:t xml:space="preserve">amendments </w:t>
      </w:r>
      <w:r w:rsidR="00931994" w:rsidRPr="00781FAD">
        <w:rPr>
          <w:rFonts w:ascii="Times New Roman" w:eastAsia="Times New Roman" w:hAnsi="Times New Roman" w:cs="Times New Roman"/>
          <w:lang w:eastAsia="en-GB"/>
        </w:rPr>
        <w:t xml:space="preserve">to government bills </w:t>
      </w:r>
      <w:r w:rsidR="00596EC3" w:rsidRPr="00781FAD">
        <w:rPr>
          <w:rFonts w:ascii="Times New Roman" w:eastAsia="Times New Roman" w:hAnsi="Times New Roman" w:cs="Times New Roman"/>
          <w:lang w:eastAsia="en-GB"/>
        </w:rPr>
        <w:t xml:space="preserve">and securing ministerial assurances. </w:t>
      </w:r>
    </w:p>
    <w:p w14:paraId="27B0E77D" w14:textId="77777777" w:rsidR="00431825" w:rsidRPr="00781FAD" w:rsidRDefault="00431825" w:rsidP="00FE5432">
      <w:pPr>
        <w:spacing w:line="480" w:lineRule="auto"/>
        <w:rPr>
          <w:rFonts w:ascii="Times New Roman" w:eastAsia="Times New Roman" w:hAnsi="Times New Roman" w:cs="Times New Roman"/>
          <w:lang w:eastAsia="en-GB"/>
        </w:rPr>
      </w:pPr>
    </w:p>
    <w:p w14:paraId="3E8618EE" w14:textId="113B23E1" w:rsidR="00596EC3" w:rsidRPr="00FE5432" w:rsidRDefault="00431825" w:rsidP="00FE5432">
      <w:pPr>
        <w:spacing w:line="480" w:lineRule="auto"/>
        <w:ind w:firstLine="720"/>
        <w:rPr>
          <w:rFonts w:ascii="Times New Roman" w:eastAsia="Times New Roman" w:hAnsi="Times New Roman" w:cs="Times New Roman"/>
          <w:lang w:eastAsia="en-GB"/>
        </w:rPr>
      </w:pPr>
      <w:r w:rsidRPr="00FE5432">
        <w:rPr>
          <w:rFonts w:ascii="Times New Roman" w:eastAsia="Times New Roman" w:hAnsi="Times New Roman" w:cs="Times New Roman"/>
          <w:lang w:eastAsia="en-GB"/>
        </w:rPr>
        <w:t>D</w:t>
      </w:r>
      <w:r w:rsidR="00726EBD" w:rsidRPr="00FE5432">
        <w:rPr>
          <w:rFonts w:ascii="Times New Roman" w:eastAsia="Times New Roman" w:hAnsi="Times New Roman" w:cs="Times New Roman"/>
          <w:lang w:eastAsia="en-GB"/>
        </w:rPr>
        <w:t xml:space="preserve">rawing on </w:t>
      </w:r>
      <w:r w:rsidR="007869C5" w:rsidRPr="00FE5432">
        <w:rPr>
          <w:rFonts w:ascii="Times New Roman" w:eastAsia="Times New Roman" w:hAnsi="Times New Roman" w:cs="Times New Roman"/>
          <w:lang w:eastAsia="en-GB"/>
        </w:rPr>
        <w:t>legislative studies literature and scholarship’s methodological approaches</w:t>
      </w:r>
      <w:r w:rsidR="00726EBD" w:rsidRPr="00FE5432">
        <w:rPr>
          <w:rFonts w:ascii="Times New Roman" w:eastAsia="Times New Roman" w:hAnsi="Times New Roman" w:cs="Times New Roman"/>
          <w:lang w:eastAsia="en-GB"/>
        </w:rPr>
        <w:t>, a</w:t>
      </w:r>
      <w:r w:rsidR="00596EC3" w:rsidRPr="00FE5432">
        <w:rPr>
          <w:rFonts w:ascii="Times New Roman" w:eastAsia="Times New Roman" w:hAnsi="Times New Roman" w:cs="Times New Roman"/>
          <w:lang w:eastAsia="en-GB"/>
        </w:rPr>
        <w:t xml:space="preserve"> </w:t>
      </w:r>
      <w:r w:rsidR="007869C5" w:rsidRPr="00FE5432">
        <w:rPr>
          <w:rFonts w:ascii="Times New Roman" w:eastAsia="Times New Roman" w:hAnsi="Times New Roman" w:cs="Times New Roman"/>
          <w:lang w:eastAsia="en-GB"/>
        </w:rPr>
        <w:t xml:space="preserve">mixed-methods </w:t>
      </w:r>
      <w:r w:rsidR="00596EC3" w:rsidRPr="00FE5432">
        <w:rPr>
          <w:rFonts w:ascii="Times New Roman" w:eastAsia="Times New Roman" w:hAnsi="Times New Roman" w:cs="Times New Roman"/>
          <w:lang w:eastAsia="en-GB"/>
        </w:rPr>
        <w:t>comparative research design</w:t>
      </w:r>
      <w:r w:rsidR="00726EBD" w:rsidRPr="00FE5432">
        <w:rPr>
          <w:rFonts w:ascii="Times New Roman" w:eastAsia="Times New Roman" w:hAnsi="Times New Roman" w:cs="Times New Roman"/>
          <w:lang w:eastAsia="en-GB"/>
        </w:rPr>
        <w:t xml:space="preserve"> is </w:t>
      </w:r>
      <w:r w:rsidR="00044C9C" w:rsidRPr="00FE5432">
        <w:rPr>
          <w:rFonts w:ascii="Times New Roman" w:eastAsia="Times New Roman" w:hAnsi="Times New Roman" w:cs="Times New Roman"/>
          <w:lang w:eastAsia="en-GB"/>
        </w:rPr>
        <w:t>constructed</w:t>
      </w:r>
      <w:r w:rsidR="007869C5" w:rsidRPr="00FE5432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FE5432">
        <w:rPr>
          <w:rFonts w:ascii="Times New Roman" w:eastAsia="Times New Roman" w:hAnsi="Times New Roman" w:cs="Times New Roman"/>
          <w:lang w:eastAsia="en-GB"/>
        </w:rPr>
        <w:t>T</w:t>
      </w:r>
      <w:r w:rsidR="00983147" w:rsidRPr="00FE5432">
        <w:rPr>
          <w:rFonts w:ascii="Times New Roman" w:eastAsia="Times New Roman" w:hAnsi="Times New Roman" w:cs="Times New Roman"/>
          <w:lang w:eastAsia="en-GB"/>
        </w:rPr>
        <w:t xml:space="preserve">he main empirical section is split between comparison of ‘amendments’ and ‘assurances’ in Scottish and UK </w:t>
      </w:r>
      <w:r w:rsidR="000C3492" w:rsidRPr="00FE5432">
        <w:rPr>
          <w:rFonts w:ascii="Times New Roman" w:eastAsia="Times New Roman" w:hAnsi="Times New Roman" w:cs="Times New Roman"/>
          <w:lang w:eastAsia="en-GB"/>
        </w:rPr>
        <w:t>settings</w:t>
      </w:r>
      <w:r w:rsidR="00C2367C">
        <w:rPr>
          <w:rFonts w:ascii="Times New Roman" w:eastAsia="Times New Roman" w:hAnsi="Times New Roman" w:cs="Times New Roman"/>
          <w:lang w:eastAsia="en-GB"/>
        </w:rPr>
        <w:t xml:space="preserve">, </w:t>
      </w:r>
      <w:r w:rsidR="00F37BD9">
        <w:rPr>
          <w:rFonts w:ascii="Times New Roman" w:eastAsia="Times New Roman" w:hAnsi="Times New Roman" w:cs="Times New Roman"/>
          <w:lang w:eastAsia="en-GB"/>
        </w:rPr>
        <w:t>using</w:t>
      </w:r>
      <w:r w:rsidR="00C2367C">
        <w:rPr>
          <w:rFonts w:ascii="Times New Roman" w:eastAsia="Times New Roman" w:hAnsi="Times New Roman" w:cs="Times New Roman"/>
          <w:lang w:eastAsia="en-GB"/>
        </w:rPr>
        <w:t xml:space="preserve"> documentary evidence, quantitative surveys and researcher-conducted interviews</w:t>
      </w:r>
      <w:r w:rsidR="00983147" w:rsidRPr="00FE5432">
        <w:rPr>
          <w:rFonts w:ascii="Times New Roman" w:eastAsia="Times New Roman" w:hAnsi="Times New Roman" w:cs="Times New Roman"/>
          <w:lang w:eastAsia="en-GB"/>
        </w:rPr>
        <w:t>.</w:t>
      </w:r>
      <w:r w:rsidR="00C30DF0">
        <w:rPr>
          <w:rStyle w:val="FootnoteReference"/>
          <w:rFonts w:ascii="Times New Roman" w:eastAsia="Times New Roman" w:hAnsi="Times New Roman" w:cs="Times New Roman"/>
          <w:lang w:eastAsia="en-GB"/>
        </w:rPr>
        <w:footnoteReference w:id="1"/>
      </w:r>
      <w:r w:rsidR="004A4A2D" w:rsidRPr="00FE5432">
        <w:rPr>
          <w:rFonts w:ascii="Times New Roman" w:eastAsia="Times New Roman" w:hAnsi="Times New Roman" w:cs="Times New Roman"/>
          <w:lang w:eastAsia="en-GB"/>
        </w:rPr>
        <w:t xml:space="preserve"> </w:t>
      </w:r>
      <w:r w:rsidR="004A4A2D" w:rsidRPr="00FE5432">
        <w:rPr>
          <w:rFonts w:ascii="Times New Roman" w:hAnsi="Times New Roman" w:cs="Times New Roman"/>
        </w:rPr>
        <w:t>Westminster’s PBCs are set-up on ad hoc bas</w:t>
      </w:r>
      <w:r w:rsidR="005424E2" w:rsidRPr="00FE5432">
        <w:rPr>
          <w:rFonts w:ascii="Times New Roman" w:hAnsi="Times New Roman" w:cs="Times New Roman"/>
        </w:rPr>
        <w:t>es</w:t>
      </w:r>
      <w:r w:rsidR="004A4A2D" w:rsidRPr="00FE5432">
        <w:rPr>
          <w:rFonts w:ascii="Times New Roman" w:hAnsi="Times New Roman" w:cs="Times New Roman"/>
        </w:rPr>
        <w:t xml:space="preserve"> to consider proposed legislation as it appears, whilst Holyrood’s committees combine legislative and scrutiny roles</w:t>
      </w:r>
      <w:r w:rsidR="004A4A2D" w:rsidRPr="00FE5432">
        <w:rPr>
          <w:rFonts w:ascii="Times New Roman" w:eastAsia="Times New Roman" w:hAnsi="Times New Roman" w:cs="Times New Roman"/>
          <w:lang w:eastAsia="en-GB"/>
        </w:rPr>
        <w:t xml:space="preserve"> (Thompson, 2016: 36</w:t>
      </w:r>
      <w:r w:rsidR="001A685A">
        <w:rPr>
          <w:rFonts w:ascii="Times New Roman" w:eastAsia="Times New Roman" w:hAnsi="Times New Roman" w:cs="Times New Roman"/>
          <w:lang w:eastAsia="en-GB"/>
        </w:rPr>
        <w:t xml:space="preserve">; </w:t>
      </w:r>
      <w:r w:rsidR="004A4A2D" w:rsidRPr="00FE5432">
        <w:rPr>
          <w:rFonts w:ascii="Times New Roman" w:eastAsia="Times New Roman" w:hAnsi="Times New Roman" w:cs="Times New Roman"/>
          <w:lang w:eastAsia="en-GB"/>
        </w:rPr>
        <w:t>Arter, 2002: 99;</w:t>
      </w:r>
      <w:r w:rsidR="004A4A2D" w:rsidRPr="00FE5432">
        <w:rPr>
          <w:rFonts w:ascii="Times New Roman" w:hAnsi="Times New Roman" w:cs="Times New Roman"/>
        </w:rPr>
        <w:t xml:space="preserve"> Arter, 2004: 71; Cairney, 2006: 183</w:t>
      </w:r>
      <w:r w:rsidR="004A4A2D" w:rsidRPr="00FE5432">
        <w:rPr>
          <w:rFonts w:ascii="Times New Roman" w:eastAsia="Times New Roman" w:hAnsi="Times New Roman" w:cs="Times New Roman"/>
          <w:lang w:eastAsia="en-GB"/>
        </w:rPr>
        <w:t>).</w:t>
      </w:r>
      <w:r w:rsidR="00CE06B1" w:rsidRPr="00FE5432">
        <w:rPr>
          <w:rFonts w:ascii="Times New Roman" w:eastAsia="Times New Roman" w:hAnsi="Times New Roman" w:cs="Times New Roman"/>
          <w:lang w:eastAsia="en-GB"/>
        </w:rPr>
        <w:t xml:space="preserve"> </w:t>
      </w:r>
      <w:r w:rsidR="005C08F9" w:rsidRPr="00FE5432">
        <w:rPr>
          <w:rFonts w:ascii="Times New Roman" w:eastAsia="Times New Roman" w:hAnsi="Times New Roman" w:cs="Times New Roman"/>
          <w:lang w:eastAsia="en-GB"/>
        </w:rPr>
        <w:t>T</w:t>
      </w:r>
      <w:r w:rsidR="00983147" w:rsidRPr="00FE5432">
        <w:rPr>
          <w:rFonts w:ascii="Times New Roman" w:eastAsia="Times New Roman" w:hAnsi="Times New Roman" w:cs="Times New Roman"/>
          <w:lang w:eastAsia="en-GB"/>
        </w:rPr>
        <w:t>wo case studies of recent bills</w:t>
      </w:r>
      <w:r w:rsidR="00EC2405" w:rsidRPr="00FE5432">
        <w:rPr>
          <w:rFonts w:ascii="Times New Roman" w:eastAsia="Times New Roman" w:hAnsi="Times New Roman" w:cs="Times New Roman"/>
          <w:lang w:eastAsia="en-GB"/>
        </w:rPr>
        <w:t xml:space="preserve"> </w:t>
      </w:r>
      <w:r w:rsidR="00983147" w:rsidRPr="00FE5432">
        <w:rPr>
          <w:rFonts w:ascii="Times New Roman" w:eastAsia="Times New Roman" w:hAnsi="Times New Roman" w:cs="Times New Roman"/>
          <w:lang w:eastAsia="en-GB"/>
        </w:rPr>
        <w:t>illuminate</w:t>
      </w:r>
      <w:r w:rsidR="005E5DA5" w:rsidRPr="00FE5432">
        <w:rPr>
          <w:rFonts w:ascii="Times New Roman" w:eastAsia="Times New Roman" w:hAnsi="Times New Roman" w:cs="Times New Roman"/>
          <w:lang w:eastAsia="en-GB"/>
        </w:rPr>
        <w:t xml:space="preserve"> dynamics partly revealed by</w:t>
      </w:r>
      <w:r w:rsidR="005C08F9" w:rsidRPr="00FE5432">
        <w:rPr>
          <w:rFonts w:ascii="Times New Roman" w:eastAsia="Times New Roman" w:hAnsi="Times New Roman" w:cs="Times New Roman"/>
          <w:lang w:eastAsia="en-GB"/>
        </w:rPr>
        <w:t xml:space="preserve"> </w:t>
      </w:r>
      <w:r w:rsidR="005E5DA5" w:rsidRPr="00FE5432">
        <w:rPr>
          <w:rFonts w:ascii="Times New Roman" w:eastAsia="Times New Roman" w:hAnsi="Times New Roman" w:cs="Times New Roman"/>
          <w:lang w:eastAsia="en-GB"/>
        </w:rPr>
        <w:t>quantitative evidence</w:t>
      </w:r>
      <w:r w:rsidR="006E666A" w:rsidRPr="00FE5432">
        <w:rPr>
          <w:rFonts w:ascii="Times New Roman" w:eastAsia="Times New Roman" w:hAnsi="Times New Roman" w:cs="Times New Roman"/>
          <w:lang w:eastAsia="en-GB"/>
        </w:rPr>
        <w:t xml:space="preserve">: Westminster’s </w:t>
      </w:r>
      <w:r w:rsidR="005E5DA5" w:rsidRPr="00FE5432">
        <w:rPr>
          <w:rFonts w:ascii="Times New Roman" w:hAnsi="Times New Roman" w:cs="Times New Roman"/>
        </w:rPr>
        <w:t xml:space="preserve">Northern Ireland (Ministers, Elections and Petitions of Concern) </w:t>
      </w:r>
      <w:r w:rsidR="005C08F9" w:rsidRPr="00FE5432">
        <w:rPr>
          <w:rFonts w:ascii="Times New Roman" w:hAnsi="Times New Roman" w:cs="Times New Roman"/>
        </w:rPr>
        <w:t>Act</w:t>
      </w:r>
      <w:r w:rsidR="005E5DA5" w:rsidRPr="00FE5432">
        <w:rPr>
          <w:rFonts w:ascii="Times New Roman" w:hAnsi="Times New Roman" w:cs="Times New Roman"/>
        </w:rPr>
        <w:t xml:space="preserve"> 2022 </w:t>
      </w:r>
      <w:r w:rsidR="006E666A" w:rsidRPr="00FE5432">
        <w:rPr>
          <w:rFonts w:ascii="Times New Roman" w:hAnsi="Times New Roman" w:cs="Times New Roman"/>
        </w:rPr>
        <w:t>and Holyrood’s</w:t>
      </w:r>
      <w:r w:rsidR="005E5DA5" w:rsidRPr="00FE5432">
        <w:rPr>
          <w:rFonts w:ascii="Times New Roman" w:eastAsia="Times New Roman" w:hAnsi="Times New Roman" w:cs="Times New Roman"/>
          <w:lang w:eastAsia="en-GB"/>
        </w:rPr>
        <w:t xml:space="preserve"> Scottish Elections (Franchise and Representation) </w:t>
      </w:r>
      <w:r w:rsidR="005C08F9" w:rsidRPr="00FE5432">
        <w:rPr>
          <w:rFonts w:ascii="Times New Roman" w:eastAsia="Times New Roman" w:hAnsi="Times New Roman" w:cs="Times New Roman"/>
          <w:lang w:eastAsia="en-GB"/>
        </w:rPr>
        <w:t>Act</w:t>
      </w:r>
      <w:r w:rsidR="005E5DA5" w:rsidRPr="00FE5432">
        <w:rPr>
          <w:rFonts w:ascii="Times New Roman" w:eastAsia="Times New Roman" w:hAnsi="Times New Roman" w:cs="Times New Roman"/>
          <w:lang w:eastAsia="en-GB"/>
        </w:rPr>
        <w:t xml:space="preserve"> 2020.</w:t>
      </w:r>
      <w:r w:rsidR="004A4A2D" w:rsidRPr="00FE5432">
        <w:rPr>
          <w:rFonts w:ascii="Times New Roman" w:eastAsia="Times New Roman" w:hAnsi="Times New Roman" w:cs="Times New Roman"/>
          <w:lang w:eastAsia="en-GB"/>
        </w:rPr>
        <w:t xml:space="preserve"> </w:t>
      </w:r>
      <w:r w:rsidR="004A4A2D" w:rsidRPr="00FE5432">
        <w:rPr>
          <w:rFonts w:ascii="Times New Roman" w:hAnsi="Times New Roman" w:cs="Times New Roman"/>
        </w:rPr>
        <w:t>Both concern devolved administrations’ elections and</w:t>
      </w:r>
      <w:r w:rsidR="00A25AD9" w:rsidRPr="00FE5432">
        <w:rPr>
          <w:rFonts w:ascii="Times New Roman" w:hAnsi="Times New Roman" w:cs="Times New Roman"/>
        </w:rPr>
        <w:t xml:space="preserve"> </w:t>
      </w:r>
      <w:r w:rsidR="004A4A2D" w:rsidRPr="00FE5432">
        <w:rPr>
          <w:rFonts w:ascii="Times New Roman" w:hAnsi="Times New Roman" w:cs="Times New Roman"/>
        </w:rPr>
        <w:t>governing arrangements.</w:t>
      </w:r>
    </w:p>
    <w:p w14:paraId="79E71978" w14:textId="009C0CD3" w:rsidR="00EC6066" w:rsidRPr="00FE5432" w:rsidRDefault="00EC6066" w:rsidP="00FE5432">
      <w:pPr>
        <w:spacing w:line="480" w:lineRule="auto"/>
        <w:rPr>
          <w:rFonts w:ascii="Times New Roman" w:eastAsia="Times New Roman" w:hAnsi="Times New Roman" w:cs="Times New Roman"/>
          <w:lang w:eastAsia="en-GB"/>
        </w:rPr>
      </w:pPr>
    </w:p>
    <w:p w14:paraId="03D3289B" w14:textId="677ABB10" w:rsidR="00847003" w:rsidRPr="00FE5432" w:rsidRDefault="000846D6" w:rsidP="00FE5432">
      <w:pPr>
        <w:spacing w:line="480" w:lineRule="auto"/>
        <w:ind w:firstLine="720"/>
        <w:rPr>
          <w:rFonts w:ascii="Times New Roman" w:eastAsia="Times New Roman" w:hAnsi="Times New Roman" w:cs="Times New Roman"/>
          <w:lang w:eastAsia="en-GB"/>
        </w:rPr>
      </w:pPr>
      <w:r w:rsidRPr="00FE5432">
        <w:rPr>
          <w:rFonts w:ascii="Times New Roman" w:eastAsia="Times New Roman" w:hAnsi="Times New Roman" w:cs="Times New Roman"/>
          <w:lang w:eastAsia="en-GB"/>
        </w:rPr>
        <w:t>This</w:t>
      </w:r>
      <w:r w:rsidR="005E5DA5" w:rsidRPr="00FE5432">
        <w:rPr>
          <w:rFonts w:ascii="Times New Roman" w:eastAsia="Times New Roman" w:hAnsi="Times New Roman" w:cs="Times New Roman"/>
          <w:lang w:eastAsia="en-GB"/>
        </w:rPr>
        <w:t xml:space="preserve"> paper </w:t>
      </w:r>
      <w:r w:rsidR="00224DC1" w:rsidRPr="00FE5432">
        <w:rPr>
          <w:rFonts w:ascii="Times New Roman" w:eastAsia="Times New Roman" w:hAnsi="Times New Roman" w:cs="Times New Roman"/>
          <w:lang w:eastAsia="en-GB"/>
        </w:rPr>
        <w:t>argues</w:t>
      </w:r>
      <w:r w:rsidR="005E5DA5" w:rsidRPr="00FE5432">
        <w:rPr>
          <w:rFonts w:ascii="Times New Roman" w:eastAsia="Times New Roman" w:hAnsi="Times New Roman" w:cs="Times New Roman"/>
          <w:lang w:eastAsia="en-GB"/>
        </w:rPr>
        <w:t xml:space="preserve"> that</w:t>
      </w:r>
      <w:r w:rsidR="00AB670B" w:rsidRPr="00FE5432">
        <w:rPr>
          <w:rFonts w:ascii="Times New Roman" w:eastAsia="Times New Roman" w:hAnsi="Times New Roman" w:cs="Times New Roman"/>
          <w:lang w:eastAsia="en-GB"/>
        </w:rPr>
        <w:t xml:space="preserve"> </w:t>
      </w:r>
      <w:r w:rsidR="00224255" w:rsidRPr="00FE5432">
        <w:rPr>
          <w:rFonts w:ascii="Times New Roman" w:eastAsia="Times New Roman" w:hAnsi="Times New Roman" w:cs="Times New Roman"/>
          <w:lang w:eastAsia="en-GB"/>
        </w:rPr>
        <w:t xml:space="preserve">neither </w:t>
      </w:r>
      <w:r w:rsidR="00AB670B" w:rsidRPr="00FE5432">
        <w:rPr>
          <w:rFonts w:ascii="Times New Roman" w:eastAsia="Times New Roman" w:hAnsi="Times New Roman" w:cs="Times New Roman"/>
          <w:lang w:eastAsia="en-GB"/>
        </w:rPr>
        <w:t>Parliaments</w:t>
      </w:r>
      <w:r w:rsidR="00651E7E" w:rsidRPr="00FE5432">
        <w:rPr>
          <w:rFonts w:ascii="Times New Roman" w:eastAsia="Times New Roman" w:hAnsi="Times New Roman" w:cs="Times New Roman"/>
          <w:lang w:eastAsia="en-GB"/>
        </w:rPr>
        <w:t>’</w:t>
      </w:r>
      <w:r w:rsidR="00AB670B" w:rsidRPr="00FE5432">
        <w:rPr>
          <w:rFonts w:ascii="Times New Roman" w:eastAsia="Times New Roman" w:hAnsi="Times New Roman" w:cs="Times New Roman"/>
          <w:lang w:eastAsia="en-GB"/>
        </w:rPr>
        <w:t xml:space="preserve"> </w:t>
      </w:r>
      <w:r w:rsidR="00224255" w:rsidRPr="00FE5432">
        <w:rPr>
          <w:rFonts w:ascii="Times New Roman" w:eastAsia="Times New Roman" w:hAnsi="Times New Roman" w:cs="Times New Roman"/>
          <w:lang w:eastAsia="en-GB"/>
        </w:rPr>
        <w:t xml:space="preserve">committee </w:t>
      </w:r>
      <w:r w:rsidR="00DB7F92" w:rsidRPr="00FE5432">
        <w:rPr>
          <w:rFonts w:ascii="Times New Roman" w:eastAsia="Times New Roman" w:hAnsi="Times New Roman" w:cs="Times New Roman"/>
          <w:lang w:eastAsia="en-GB"/>
        </w:rPr>
        <w:t>stage</w:t>
      </w:r>
      <w:r w:rsidR="00224255" w:rsidRPr="00FE5432">
        <w:rPr>
          <w:rFonts w:ascii="Times New Roman" w:eastAsia="Times New Roman" w:hAnsi="Times New Roman" w:cs="Times New Roman"/>
          <w:lang w:eastAsia="en-GB"/>
        </w:rPr>
        <w:t xml:space="preserve"> is </w:t>
      </w:r>
      <w:r w:rsidR="00AE30CA" w:rsidRPr="00FE5432">
        <w:rPr>
          <w:rFonts w:ascii="Times New Roman" w:eastAsia="Times New Roman" w:hAnsi="Times New Roman" w:cs="Times New Roman"/>
          <w:lang w:eastAsia="en-GB"/>
        </w:rPr>
        <w:t xml:space="preserve">especially </w:t>
      </w:r>
      <w:r w:rsidR="00224255" w:rsidRPr="00FE5432">
        <w:rPr>
          <w:rFonts w:ascii="Times New Roman" w:eastAsia="Times New Roman" w:hAnsi="Times New Roman" w:cs="Times New Roman"/>
          <w:lang w:eastAsia="en-GB"/>
        </w:rPr>
        <w:t xml:space="preserve">effective at securing material changes to </w:t>
      </w:r>
      <w:r w:rsidR="00042CD5" w:rsidRPr="00FE5432">
        <w:rPr>
          <w:rFonts w:ascii="Times New Roman" w:eastAsia="Times New Roman" w:hAnsi="Times New Roman" w:cs="Times New Roman"/>
          <w:lang w:eastAsia="en-GB"/>
        </w:rPr>
        <w:t xml:space="preserve">government </w:t>
      </w:r>
      <w:r w:rsidR="00224255" w:rsidRPr="00FE5432">
        <w:rPr>
          <w:rFonts w:ascii="Times New Roman" w:eastAsia="Times New Roman" w:hAnsi="Times New Roman" w:cs="Times New Roman"/>
          <w:lang w:eastAsia="en-GB"/>
        </w:rPr>
        <w:t>bills</w:t>
      </w:r>
      <w:r w:rsidR="00663574" w:rsidRPr="00FE5432">
        <w:rPr>
          <w:rFonts w:ascii="Times New Roman" w:eastAsia="Times New Roman" w:hAnsi="Times New Roman" w:cs="Times New Roman"/>
          <w:lang w:eastAsia="en-GB"/>
        </w:rPr>
        <w:t xml:space="preserve">. </w:t>
      </w:r>
      <w:r w:rsidR="00224255" w:rsidRPr="00FE5432">
        <w:rPr>
          <w:rFonts w:ascii="Times New Roman" w:eastAsia="Times New Roman" w:hAnsi="Times New Roman" w:cs="Times New Roman"/>
          <w:lang w:eastAsia="en-GB"/>
        </w:rPr>
        <w:t>However, comparatively speaking, Holyrood</w:t>
      </w:r>
      <w:r w:rsidR="00F80EB6" w:rsidRPr="00FE5432">
        <w:rPr>
          <w:rFonts w:ascii="Times New Roman" w:eastAsia="Times New Roman" w:hAnsi="Times New Roman" w:cs="Times New Roman"/>
          <w:lang w:eastAsia="en-GB"/>
        </w:rPr>
        <w:t>’s</w:t>
      </w:r>
      <w:r w:rsidR="00224255" w:rsidRPr="00FE5432">
        <w:rPr>
          <w:rFonts w:ascii="Times New Roman" w:eastAsia="Times New Roman" w:hAnsi="Times New Roman" w:cs="Times New Roman"/>
          <w:lang w:eastAsia="en-GB"/>
        </w:rPr>
        <w:t xml:space="preserve"> committees are </w:t>
      </w:r>
      <w:r w:rsidR="008C7B46" w:rsidRPr="00FE5432">
        <w:rPr>
          <w:rFonts w:ascii="Times New Roman" w:eastAsia="Times New Roman" w:hAnsi="Times New Roman" w:cs="Times New Roman"/>
          <w:lang w:eastAsia="en-GB"/>
        </w:rPr>
        <w:t>marginally</w:t>
      </w:r>
      <w:r w:rsidR="00224255" w:rsidRPr="00FE5432">
        <w:rPr>
          <w:rFonts w:ascii="Times New Roman" w:eastAsia="Times New Roman" w:hAnsi="Times New Roman" w:cs="Times New Roman"/>
          <w:lang w:eastAsia="en-GB"/>
        </w:rPr>
        <w:t xml:space="preserve"> more influential </w:t>
      </w:r>
      <w:r w:rsidR="00413855" w:rsidRPr="00FE5432">
        <w:rPr>
          <w:rFonts w:ascii="Times New Roman" w:eastAsia="Times New Roman" w:hAnsi="Times New Roman" w:cs="Times New Roman"/>
          <w:lang w:eastAsia="en-GB"/>
        </w:rPr>
        <w:t>by this metric</w:t>
      </w:r>
      <w:r w:rsidR="00AE30CA" w:rsidRPr="00FE5432">
        <w:rPr>
          <w:rFonts w:ascii="Times New Roman" w:eastAsia="Times New Roman" w:hAnsi="Times New Roman" w:cs="Times New Roman"/>
          <w:lang w:eastAsia="en-GB"/>
        </w:rPr>
        <w:t>.</w:t>
      </w:r>
      <w:r w:rsidR="00224255" w:rsidRPr="00FE5432">
        <w:rPr>
          <w:rFonts w:ascii="Times New Roman" w:eastAsia="Times New Roman" w:hAnsi="Times New Roman" w:cs="Times New Roman"/>
          <w:lang w:eastAsia="en-GB"/>
        </w:rPr>
        <w:t xml:space="preserve"> </w:t>
      </w:r>
      <w:r w:rsidR="00BE4227" w:rsidRPr="00FE5432">
        <w:rPr>
          <w:rFonts w:ascii="Times New Roman" w:eastAsia="Times New Roman" w:hAnsi="Times New Roman" w:cs="Times New Roman"/>
          <w:lang w:eastAsia="en-GB"/>
        </w:rPr>
        <w:t>By</w:t>
      </w:r>
      <w:r w:rsidR="00224255" w:rsidRPr="00FE5432">
        <w:rPr>
          <w:rFonts w:ascii="Times New Roman" w:eastAsia="Times New Roman" w:hAnsi="Times New Roman" w:cs="Times New Roman"/>
          <w:lang w:eastAsia="en-GB"/>
        </w:rPr>
        <w:t xml:space="preserve"> assurances</w:t>
      </w:r>
      <w:r w:rsidR="00E83B03" w:rsidRPr="00FE5432">
        <w:rPr>
          <w:rFonts w:ascii="Times New Roman" w:eastAsia="Times New Roman" w:hAnsi="Times New Roman" w:cs="Times New Roman"/>
          <w:lang w:eastAsia="en-GB"/>
        </w:rPr>
        <w:t>,</w:t>
      </w:r>
      <w:r w:rsidR="00224255" w:rsidRPr="00FE5432">
        <w:rPr>
          <w:rFonts w:ascii="Times New Roman" w:eastAsia="Times New Roman" w:hAnsi="Times New Roman" w:cs="Times New Roman"/>
          <w:lang w:eastAsia="en-GB"/>
        </w:rPr>
        <w:t xml:space="preserve"> both committee systems </w:t>
      </w:r>
      <w:r w:rsidR="007938DB" w:rsidRPr="00FE5432">
        <w:rPr>
          <w:rFonts w:ascii="Times New Roman" w:eastAsia="Times New Roman" w:hAnsi="Times New Roman" w:cs="Times New Roman"/>
          <w:lang w:eastAsia="en-GB"/>
        </w:rPr>
        <w:t>have</w:t>
      </w:r>
      <w:r w:rsidR="00224255" w:rsidRPr="00FE5432">
        <w:rPr>
          <w:rFonts w:ascii="Times New Roman" w:eastAsia="Times New Roman" w:hAnsi="Times New Roman" w:cs="Times New Roman"/>
          <w:lang w:eastAsia="en-GB"/>
        </w:rPr>
        <w:t xml:space="preserve"> </w:t>
      </w:r>
      <w:r w:rsidR="00AE30CA" w:rsidRPr="00FE5432">
        <w:rPr>
          <w:rFonts w:ascii="Times New Roman" w:eastAsia="Times New Roman" w:hAnsi="Times New Roman" w:cs="Times New Roman"/>
          <w:lang w:eastAsia="en-GB"/>
        </w:rPr>
        <w:t>more</w:t>
      </w:r>
      <w:r w:rsidR="00224255" w:rsidRPr="00FE5432">
        <w:rPr>
          <w:rFonts w:ascii="Times New Roman" w:eastAsia="Times New Roman" w:hAnsi="Times New Roman" w:cs="Times New Roman"/>
          <w:lang w:eastAsia="en-GB"/>
        </w:rPr>
        <w:t xml:space="preserve"> influen</w:t>
      </w:r>
      <w:r w:rsidR="007938DB" w:rsidRPr="00FE5432">
        <w:rPr>
          <w:rFonts w:ascii="Times New Roman" w:eastAsia="Times New Roman" w:hAnsi="Times New Roman" w:cs="Times New Roman"/>
          <w:lang w:eastAsia="en-GB"/>
        </w:rPr>
        <w:t>ce</w:t>
      </w:r>
      <w:r w:rsidR="00224255" w:rsidRPr="00FE5432">
        <w:rPr>
          <w:rFonts w:ascii="Times New Roman" w:eastAsia="Times New Roman" w:hAnsi="Times New Roman" w:cs="Times New Roman"/>
          <w:lang w:eastAsia="en-GB"/>
        </w:rPr>
        <w:t xml:space="preserve"> </w:t>
      </w:r>
      <w:r w:rsidR="00AE30CA" w:rsidRPr="00FE5432">
        <w:rPr>
          <w:rFonts w:ascii="Times New Roman" w:eastAsia="Times New Roman" w:hAnsi="Times New Roman" w:cs="Times New Roman"/>
          <w:lang w:eastAsia="en-GB"/>
        </w:rPr>
        <w:t>on</w:t>
      </w:r>
      <w:r w:rsidR="00224255" w:rsidRPr="00FE5432">
        <w:rPr>
          <w:rFonts w:ascii="Times New Roman" w:eastAsia="Times New Roman" w:hAnsi="Times New Roman" w:cs="Times New Roman"/>
          <w:lang w:eastAsia="en-GB"/>
        </w:rPr>
        <w:t xml:space="preserve"> bills. </w:t>
      </w:r>
      <w:r w:rsidR="000F1DE9" w:rsidRPr="00FE5432">
        <w:rPr>
          <w:rFonts w:ascii="Times New Roman" w:eastAsia="Times New Roman" w:hAnsi="Times New Roman" w:cs="Times New Roman"/>
          <w:lang w:eastAsia="en-GB"/>
        </w:rPr>
        <w:t>Whilst</w:t>
      </w:r>
      <w:r w:rsidR="00224255" w:rsidRPr="00FE5432">
        <w:rPr>
          <w:rFonts w:ascii="Times New Roman" w:eastAsia="Times New Roman" w:hAnsi="Times New Roman" w:cs="Times New Roman"/>
          <w:lang w:eastAsia="en-GB"/>
        </w:rPr>
        <w:t xml:space="preserve"> the convention of assurances is not </w:t>
      </w:r>
      <w:r w:rsidR="000F1DE9" w:rsidRPr="00FE5432">
        <w:rPr>
          <w:rFonts w:ascii="Times New Roman" w:eastAsia="Times New Roman" w:hAnsi="Times New Roman" w:cs="Times New Roman"/>
          <w:lang w:eastAsia="en-GB"/>
        </w:rPr>
        <w:lastRenderedPageBreak/>
        <w:t xml:space="preserve">discernibly </w:t>
      </w:r>
      <w:r w:rsidR="002D2CC2" w:rsidRPr="00FE5432">
        <w:rPr>
          <w:rFonts w:ascii="Times New Roman" w:eastAsia="Times New Roman" w:hAnsi="Times New Roman" w:cs="Times New Roman"/>
          <w:lang w:eastAsia="en-GB"/>
        </w:rPr>
        <w:t>better developed</w:t>
      </w:r>
      <w:r w:rsidR="00224255" w:rsidRPr="00FE5432">
        <w:rPr>
          <w:rFonts w:ascii="Times New Roman" w:eastAsia="Times New Roman" w:hAnsi="Times New Roman" w:cs="Times New Roman"/>
          <w:lang w:eastAsia="en-GB"/>
        </w:rPr>
        <w:t xml:space="preserve"> at </w:t>
      </w:r>
      <w:r w:rsidR="00AE30CA" w:rsidRPr="00FE5432">
        <w:rPr>
          <w:rFonts w:ascii="Times New Roman" w:eastAsia="Times New Roman" w:hAnsi="Times New Roman" w:cs="Times New Roman"/>
          <w:lang w:eastAsia="en-GB"/>
        </w:rPr>
        <w:t>e</w:t>
      </w:r>
      <w:r w:rsidR="00224255" w:rsidRPr="00FE5432">
        <w:rPr>
          <w:rFonts w:ascii="Times New Roman" w:eastAsia="Times New Roman" w:hAnsi="Times New Roman" w:cs="Times New Roman"/>
          <w:lang w:eastAsia="en-GB"/>
        </w:rPr>
        <w:t>ither Westminster or Holyrood</w:t>
      </w:r>
      <w:r w:rsidR="00AE30CA" w:rsidRPr="00FE5432">
        <w:rPr>
          <w:rFonts w:ascii="Times New Roman" w:eastAsia="Times New Roman" w:hAnsi="Times New Roman" w:cs="Times New Roman"/>
          <w:lang w:eastAsia="en-GB"/>
        </w:rPr>
        <w:t xml:space="preserve">, a consensual spirit </w:t>
      </w:r>
      <w:r w:rsidR="002D2CC2" w:rsidRPr="00FE5432">
        <w:rPr>
          <w:rFonts w:ascii="Times New Roman" w:eastAsia="Times New Roman" w:hAnsi="Times New Roman" w:cs="Times New Roman"/>
          <w:lang w:eastAsia="en-GB"/>
        </w:rPr>
        <w:t>i</w:t>
      </w:r>
      <w:r w:rsidR="00E83B03" w:rsidRPr="00FE5432">
        <w:rPr>
          <w:rFonts w:ascii="Times New Roman" w:eastAsia="Times New Roman" w:hAnsi="Times New Roman" w:cs="Times New Roman"/>
          <w:lang w:eastAsia="en-GB"/>
        </w:rPr>
        <w:t>s</w:t>
      </w:r>
      <w:r w:rsidR="00AE30CA" w:rsidRPr="00FE5432">
        <w:rPr>
          <w:rFonts w:ascii="Times New Roman" w:eastAsia="Times New Roman" w:hAnsi="Times New Roman" w:cs="Times New Roman"/>
          <w:lang w:eastAsia="en-GB"/>
        </w:rPr>
        <w:t xml:space="preserve"> more easily detected </w:t>
      </w:r>
      <w:r w:rsidR="00973213" w:rsidRPr="00FE5432">
        <w:rPr>
          <w:rFonts w:ascii="Times New Roman" w:eastAsia="Times New Roman" w:hAnsi="Times New Roman" w:cs="Times New Roman"/>
          <w:lang w:eastAsia="en-GB"/>
        </w:rPr>
        <w:t>at Holyrood.</w:t>
      </w:r>
    </w:p>
    <w:p w14:paraId="4A922203" w14:textId="77777777" w:rsidR="00687762" w:rsidRPr="00FE5432" w:rsidRDefault="00687762" w:rsidP="00FE5432">
      <w:pPr>
        <w:spacing w:line="480" w:lineRule="auto"/>
        <w:rPr>
          <w:rFonts w:ascii="Times New Roman" w:hAnsi="Times New Roman" w:cs="Times New Roman"/>
          <w:i/>
          <w:iCs/>
        </w:rPr>
      </w:pPr>
    </w:p>
    <w:p w14:paraId="6521A175" w14:textId="40401184" w:rsidR="004F524C" w:rsidRPr="00FE5432" w:rsidRDefault="00984237" w:rsidP="00FE5432">
      <w:pPr>
        <w:spacing w:line="480" w:lineRule="auto"/>
        <w:rPr>
          <w:rFonts w:ascii="Times New Roman" w:hAnsi="Times New Roman" w:cs="Times New Roman"/>
          <w:b/>
          <w:bCs/>
        </w:rPr>
      </w:pPr>
      <w:r w:rsidRPr="00FE5432">
        <w:rPr>
          <w:rFonts w:ascii="Times New Roman" w:hAnsi="Times New Roman" w:cs="Times New Roman"/>
          <w:b/>
          <w:bCs/>
        </w:rPr>
        <w:t xml:space="preserve">Theory and </w:t>
      </w:r>
      <w:r w:rsidR="004A62A5" w:rsidRPr="00FE5432">
        <w:rPr>
          <w:rFonts w:ascii="Times New Roman" w:hAnsi="Times New Roman" w:cs="Times New Roman"/>
          <w:b/>
          <w:bCs/>
        </w:rPr>
        <w:t>comparative research design</w:t>
      </w:r>
    </w:p>
    <w:p w14:paraId="7E0681B0" w14:textId="4E345E0F" w:rsidR="00226947" w:rsidRPr="00FE5432" w:rsidRDefault="00C60E34" w:rsidP="006D70C9">
      <w:pPr>
        <w:pStyle w:val="NormalWeb"/>
        <w:spacing w:line="480" w:lineRule="auto"/>
        <w:ind w:firstLine="720"/>
      </w:pPr>
      <w:r w:rsidRPr="00FE5432">
        <w:t>Claims</w:t>
      </w:r>
      <w:r w:rsidR="004F524C" w:rsidRPr="00FE5432">
        <w:t xml:space="preserve"> that the UK Parliament is subservient to an overbearing executive ha</w:t>
      </w:r>
      <w:r w:rsidR="00B27760" w:rsidRPr="00FE5432">
        <w:t>ve</w:t>
      </w:r>
      <w:r w:rsidR="004F524C" w:rsidRPr="00FE5432">
        <w:t xml:space="preserve"> dominated British legislative studies literature </w:t>
      </w:r>
      <w:r w:rsidRPr="00FE5432">
        <w:t>(Flinders and Kelso, 2011: 249)</w:t>
      </w:r>
      <w:r w:rsidR="004F524C" w:rsidRPr="00FE5432">
        <w:t xml:space="preserve">. </w:t>
      </w:r>
      <w:r w:rsidR="00862666" w:rsidRPr="00FE5432">
        <w:t>Their</w:t>
      </w:r>
      <w:r w:rsidR="00226947" w:rsidRPr="00FE5432">
        <w:t xml:space="preserve"> most recent articulations assess </w:t>
      </w:r>
      <w:r w:rsidR="00862666" w:rsidRPr="00FE5432">
        <w:t>Westminster</w:t>
      </w:r>
      <w:r w:rsidR="00226947" w:rsidRPr="00FE5432">
        <w:t xml:space="preserve"> </w:t>
      </w:r>
      <w:r w:rsidR="00D45000" w:rsidRPr="00FE5432">
        <w:t>as</w:t>
      </w:r>
      <w:r w:rsidR="00226947" w:rsidRPr="00FE5432">
        <w:t xml:space="preserve"> ‘peripheral’</w:t>
      </w:r>
      <w:r w:rsidR="00862666" w:rsidRPr="00FE5432">
        <w:t xml:space="preserve">; </w:t>
      </w:r>
      <w:r w:rsidR="00226947" w:rsidRPr="00FE5432">
        <w:t>playing ‘a marginal role in the policymaking process’ (King and Crew</w:t>
      </w:r>
      <w:r w:rsidR="00F2735D" w:rsidRPr="00FE5432">
        <w:t>e</w:t>
      </w:r>
      <w:r w:rsidR="00226947" w:rsidRPr="00FE5432">
        <w:t xml:space="preserve">, 2013: 261; Martin and </w:t>
      </w:r>
      <w:proofErr w:type="spellStart"/>
      <w:r w:rsidR="00226947" w:rsidRPr="00FE5432">
        <w:t>Vanberg</w:t>
      </w:r>
      <w:proofErr w:type="spellEnd"/>
      <w:r w:rsidR="00226947" w:rsidRPr="00FE5432">
        <w:t xml:space="preserve">, 2011: 4; Norton, 1998: 41; Moran, 2005, 196). </w:t>
      </w:r>
      <w:r w:rsidR="005F7C13" w:rsidRPr="00FE5432">
        <w:t xml:space="preserve">PBCs </w:t>
      </w:r>
      <w:r w:rsidR="00C90946" w:rsidRPr="00FE5432">
        <w:t>suffer in</w:t>
      </w:r>
      <w:r w:rsidR="004F524C" w:rsidRPr="00FE5432">
        <w:t xml:space="preserve"> this parliamentary decline thesis (PDT)</w:t>
      </w:r>
      <w:r w:rsidR="00226947" w:rsidRPr="00FE5432">
        <w:t xml:space="preserve">: scholarly consensus </w:t>
      </w:r>
      <w:r w:rsidR="00862666" w:rsidRPr="00FE5432">
        <w:t xml:space="preserve">holds </w:t>
      </w:r>
      <w:r w:rsidR="00226947" w:rsidRPr="00FE5432">
        <w:t xml:space="preserve">that </w:t>
      </w:r>
      <w:r w:rsidR="00971688" w:rsidRPr="00FE5432">
        <w:t>they</w:t>
      </w:r>
      <w:r w:rsidR="00226947" w:rsidRPr="00FE5432">
        <w:t xml:space="preserve"> simply ‘preserve executive strength’ and are ‘the House-in-miniature’ (Kelso, 2009: 39; Blackburn and Kennon, 2003: 385; Norton, 2017: 194).</w:t>
      </w:r>
      <w:r w:rsidR="009B1CAC">
        <w:t xml:space="preserve"> Comparative literature suggests UK committee weakness versus European counterparts</w:t>
      </w:r>
      <w:r w:rsidR="006D70C9">
        <w:t>; at the ‘</w:t>
      </w:r>
      <w:r w:rsidR="006D70C9" w:rsidRPr="00571138">
        <w:rPr>
          <w:color w:val="000000" w:themeColor="text1"/>
        </w:rPr>
        <w:t>opposite end of the spectrum</w:t>
      </w:r>
      <w:r w:rsidR="006D70C9">
        <w:rPr>
          <w:color w:val="000000" w:themeColor="text1"/>
        </w:rPr>
        <w:t xml:space="preserve">’ to powerful parliamentary committees (Dixon and Jones, 2019: 25; Mattson and </w:t>
      </w:r>
      <w:proofErr w:type="spellStart"/>
      <w:r w:rsidR="006D70C9">
        <w:rPr>
          <w:color w:val="000000" w:themeColor="text1"/>
        </w:rPr>
        <w:t>Str</w:t>
      </w:r>
      <w:r w:rsidR="002033B1">
        <w:rPr>
          <w:color w:val="000000" w:themeColor="text1"/>
        </w:rPr>
        <w:t>ø</w:t>
      </w:r>
      <w:r w:rsidR="006D70C9">
        <w:rPr>
          <w:color w:val="000000" w:themeColor="text1"/>
        </w:rPr>
        <w:t>m</w:t>
      </w:r>
      <w:proofErr w:type="spellEnd"/>
      <w:r w:rsidR="006D70C9">
        <w:rPr>
          <w:color w:val="000000" w:themeColor="text1"/>
        </w:rPr>
        <w:t xml:space="preserve">, 2004, 100; Martin and </w:t>
      </w:r>
      <w:proofErr w:type="spellStart"/>
      <w:r w:rsidR="006D70C9">
        <w:rPr>
          <w:color w:val="000000" w:themeColor="text1"/>
        </w:rPr>
        <w:t>Venberg</w:t>
      </w:r>
      <w:proofErr w:type="spellEnd"/>
      <w:r w:rsidR="006D70C9">
        <w:rPr>
          <w:color w:val="000000" w:themeColor="text1"/>
        </w:rPr>
        <w:t xml:space="preserve">, 2011). </w:t>
      </w:r>
      <w:r w:rsidR="00B057DC" w:rsidRPr="00FE5432">
        <w:t>Despite this</w:t>
      </w:r>
      <w:r w:rsidR="00DC439F" w:rsidRPr="00FE5432">
        <w:t>, Judge maintained the UK was fundamentally a ‘parliamentary state’ (</w:t>
      </w:r>
      <w:r w:rsidR="00BD3A8B">
        <w:t xml:space="preserve">1993: </w:t>
      </w:r>
      <w:r w:rsidR="00DC439F" w:rsidRPr="00FE5432">
        <w:t>7). Since then, there have been some</w:t>
      </w:r>
      <w:r w:rsidR="00975C42" w:rsidRPr="00FE5432">
        <w:t xml:space="preserve"> </w:t>
      </w:r>
      <w:r w:rsidR="00DC439F" w:rsidRPr="00FE5432">
        <w:t>considerable</w:t>
      </w:r>
      <w:r w:rsidR="00975C42" w:rsidRPr="00FE5432">
        <w:t xml:space="preserve"> </w:t>
      </w:r>
      <w:r w:rsidR="00DC439F" w:rsidRPr="00FE5432">
        <w:t xml:space="preserve">efforts to provide empirical backing to his evaluation (Russell </w:t>
      </w:r>
      <w:r w:rsidR="00DC439F" w:rsidRPr="00FE5432">
        <w:rPr>
          <w:i/>
          <w:iCs/>
        </w:rPr>
        <w:t xml:space="preserve">et al, </w:t>
      </w:r>
      <w:r w:rsidR="00DC439F" w:rsidRPr="00FE5432">
        <w:t>2016: 286; Flinder</w:t>
      </w:r>
      <w:r w:rsidR="00D11EC9">
        <w:t>s</w:t>
      </w:r>
      <w:r w:rsidR="00DC439F" w:rsidRPr="00FE5432">
        <w:t xml:space="preserve"> and Kelso, 2011: 250).</w:t>
      </w:r>
    </w:p>
    <w:p w14:paraId="769D16D8" w14:textId="4AA9EE5F" w:rsidR="00DC439F" w:rsidRPr="00FE5432" w:rsidRDefault="00975C42" w:rsidP="00FE5432">
      <w:pPr>
        <w:spacing w:line="480" w:lineRule="auto"/>
        <w:ind w:firstLine="720"/>
        <w:rPr>
          <w:rFonts w:ascii="Times New Roman" w:hAnsi="Times New Roman" w:cs="Times New Roman"/>
        </w:rPr>
      </w:pPr>
      <w:r w:rsidRPr="00FE5432">
        <w:rPr>
          <w:rFonts w:ascii="Times New Roman" w:eastAsia="Times New Roman" w:hAnsi="Times New Roman" w:cs="Times New Roman"/>
          <w:lang w:eastAsia="en-GB"/>
        </w:rPr>
        <w:t>The</w:t>
      </w:r>
      <w:r w:rsidR="004F524C" w:rsidRPr="00FE5432">
        <w:rPr>
          <w:rFonts w:ascii="Times New Roman" w:eastAsia="Times New Roman" w:hAnsi="Times New Roman" w:cs="Times New Roman"/>
          <w:lang w:eastAsia="en-GB"/>
        </w:rPr>
        <w:t xml:space="preserve"> literature developed minorly since </w:t>
      </w:r>
      <w:r w:rsidR="002033B1">
        <w:rPr>
          <w:rFonts w:ascii="Times New Roman" w:eastAsia="Times New Roman" w:hAnsi="Times New Roman" w:cs="Times New Roman"/>
          <w:lang w:eastAsia="en-GB"/>
        </w:rPr>
        <w:t xml:space="preserve">the </w:t>
      </w:r>
      <w:r w:rsidR="004F524C" w:rsidRPr="00FE5432">
        <w:rPr>
          <w:rFonts w:ascii="Times New Roman" w:eastAsia="Times New Roman" w:hAnsi="Times New Roman" w:cs="Times New Roman"/>
          <w:lang w:eastAsia="en-GB"/>
        </w:rPr>
        <w:t xml:space="preserve">constitutional transformation </w:t>
      </w:r>
      <w:r w:rsidRPr="00FE5432">
        <w:rPr>
          <w:rFonts w:ascii="Times New Roman" w:eastAsia="Times New Roman" w:hAnsi="Times New Roman" w:cs="Times New Roman"/>
          <w:lang w:eastAsia="en-GB"/>
        </w:rPr>
        <w:t>of</w:t>
      </w:r>
      <w:r w:rsidR="004F524C" w:rsidRPr="00FE5432">
        <w:rPr>
          <w:rFonts w:ascii="Times New Roman" w:eastAsia="Times New Roman" w:hAnsi="Times New Roman" w:cs="Times New Roman"/>
          <w:lang w:eastAsia="en-GB"/>
        </w:rPr>
        <w:t xml:space="preserve"> devolution in 1998, with </w:t>
      </w:r>
      <w:r w:rsidR="008D1BB8" w:rsidRPr="00FE5432">
        <w:rPr>
          <w:rFonts w:ascii="Times New Roman" w:eastAsia="Times New Roman" w:hAnsi="Times New Roman" w:cs="Times New Roman"/>
          <w:lang w:eastAsia="en-GB"/>
        </w:rPr>
        <w:t>Holyrood</w:t>
      </w:r>
      <w:r w:rsidR="004F524C" w:rsidRPr="00FE5432">
        <w:rPr>
          <w:rFonts w:ascii="Times New Roman" w:eastAsia="Times New Roman" w:hAnsi="Times New Roman" w:cs="Times New Roman"/>
          <w:lang w:eastAsia="en-GB"/>
        </w:rPr>
        <w:t xml:space="preserve"> remaining chronically understudied. </w:t>
      </w:r>
      <w:r w:rsidR="00E512FD" w:rsidRPr="00FE5432">
        <w:rPr>
          <w:rFonts w:ascii="Times New Roman" w:eastAsia="Times New Roman" w:hAnsi="Times New Roman" w:cs="Times New Roman"/>
          <w:lang w:eastAsia="en-GB"/>
        </w:rPr>
        <w:t>D</w:t>
      </w:r>
      <w:r w:rsidR="004F524C" w:rsidRPr="00FE5432">
        <w:rPr>
          <w:rFonts w:ascii="Times New Roman" w:eastAsia="Times New Roman" w:hAnsi="Times New Roman" w:cs="Times New Roman"/>
          <w:lang w:eastAsia="en-GB"/>
        </w:rPr>
        <w:t xml:space="preserve">eliberate attempts </w:t>
      </w:r>
      <w:r w:rsidR="00E512FD" w:rsidRPr="00FE5432">
        <w:rPr>
          <w:rFonts w:ascii="Times New Roman" w:eastAsia="Times New Roman" w:hAnsi="Times New Roman" w:cs="Times New Roman"/>
          <w:lang w:eastAsia="en-GB"/>
        </w:rPr>
        <w:t xml:space="preserve">were made </w:t>
      </w:r>
      <w:r w:rsidR="004F524C" w:rsidRPr="00FE5432">
        <w:rPr>
          <w:rFonts w:ascii="Times New Roman" w:eastAsia="Times New Roman" w:hAnsi="Times New Roman" w:cs="Times New Roman"/>
          <w:lang w:eastAsia="en-GB"/>
        </w:rPr>
        <w:t>to</w:t>
      </w:r>
      <w:r w:rsidR="004D0E8F" w:rsidRPr="00FE5432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FE5432">
        <w:rPr>
          <w:rFonts w:ascii="Times New Roman" w:eastAsia="Times New Roman" w:hAnsi="Times New Roman" w:cs="Times New Roman"/>
          <w:lang w:eastAsia="en-GB"/>
        </w:rPr>
        <w:t>design</w:t>
      </w:r>
      <w:r w:rsidR="004F524C" w:rsidRPr="00FE5432">
        <w:rPr>
          <w:rFonts w:ascii="Times New Roman" w:eastAsia="Times New Roman" w:hAnsi="Times New Roman" w:cs="Times New Roman"/>
          <w:lang w:eastAsia="en-GB"/>
        </w:rPr>
        <w:t xml:space="preserve"> Holyrood </w:t>
      </w:r>
      <w:r w:rsidR="004D0E8F" w:rsidRPr="00FE5432">
        <w:rPr>
          <w:rFonts w:ascii="Times New Roman" w:eastAsia="Times New Roman" w:hAnsi="Times New Roman" w:cs="Times New Roman"/>
          <w:lang w:eastAsia="en-GB"/>
        </w:rPr>
        <w:t>differently to Westminster</w:t>
      </w:r>
      <w:r w:rsidR="00E512FD" w:rsidRPr="00FE5432">
        <w:rPr>
          <w:rFonts w:ascii="Times New Roman" w:eastAsia="Times New Roman" w:hAnsi="Times New Roman" w:cs="Times New Roman"/>
          <w:lang w:eastAsia="en-GB"/>
        </w:rPr>
        <w:t xml:space="preserve">. </w:t>
      </w:r>
      <w:r w:rsidR="00F243D4" w:rsidRPr="00FE5432">
        <w:rPr>
          <w:rFonts w:ascii="Times New Roman" w:hAnsi="Times New Roman" w:cs="Times New Roman"/>
        </w:rPr>
        <w:t>Notions</w:t>
      </w:r>
      <w:r w:rsidR="000F06DA" w:rsidRPr="00FE5432">
        <w:rPr>
          <w:rFonts w:ascii="Times New Roman" w:hAnsi="Times New Roman" w:cs="Times New Roman"/>
        </w:rPr>
        <w:t xml:space="preserve"> of</w:t>
      </w:r>
      <w:r w:rsidR="00C5391F" w:rsidRPr="00FE5432">
        <w:rPr>
          <w:rFonts w:ascii="Times New Roman" w:hAnsi="Times New Roman" w:cs="Times New Roman"/>
        </w:rPr>
        <w:t xml:space="preserve"> ‘new politics’ w</w:t>
      </w:r>
      <w:r w:rsidR="00E512FD" w:rsidRPr="00FE5432">
        <w:rPr>
          <w:rFonts w:ascii="Times New Roman" w:hAnsi="Times New Roman" w:cs="Times New Roman"/>
        </w:rPr>
        <w:t>ere</w:t>
      </w:r>
      <w:r w:rsidR="00C5391F" w:rsidRPr="00FE5432">
        <w:rPr>
          <w:rFonts w:ascii="Times New Roman" w:hAnsi="Times New Roman" w:cs="Times New Roman"/>
        </w:rPr>
        <w:t xml:space="preserve"> encapsulated </w:t>
      </w:r>
      <w:r w:rsidR="00EE79B4" w:rsidRPr="00FE5432">
        <w:rPr>
          <w:rFonts w:ascii="Times New Roman" w:hAnsi="Times New Roman" w:cs="Times New Roman"/>
        </w:rPr>
        <w:t xml:space="preserve">in </w:t>
      </w:r>
      <w:r w:rsidR="00C5391F" w:rsidRPr="00FE5432">
        <w:rPr>
          <w:rFonts w:ascii="Times New Roman" w:hAnsi="Times New Roman" w:cs="Times New Roman"/>
        </w:rPr>
        <w:t>1995</w:t>
      </w:r>
      <w:r w:rsidR="00EE79B4" w:rsidRPr="00FE5432">
        <w:rPr>
          <w:rFonts w:ascii="Times New Roman" w:hAnsi="Times New Roman" w:cs="Times New Roman"/>
        </w:rPr>
        <w:t>’s</w:t>
      </w:r>
      <w:r w:rsidR="00C5391F" w:rsidRPr="00FE5432">
        <w:rPr>
          <w:rFonts w:ascii="Times New Roman" w:hAnsi="Times New Roman" w:cs="Times New Roman"/>
        </w:rPr>
        <w:t xml:space="preserve"> </w:t>
      </w:r>
      <w:r w:rsidR="002033B1">
        <w:rPr>
          <w:rFonts w:ascii="Times New Roman" w:hAnsi="Times New Roman" w:cs="Times New Roman"/>
        </w:rPr>
        <w:t xml:space="preserve">Scottish </w:t>
      </w:r>
      <w:r w:rsidR="00C5391F" w:rsidRPr="00FE5432">
        <w:rPr>
          <w:rFonts w:ascii="Times New Roman" w:hAnsi="Times New Roman" w:cs="Times New Roman"/>
        </w:rPr>
        <w:t xml:space="preserve">Constitutional Convention: to ‘usher in a way of politics that is radically different from the rituals of Westminster: more participative, more creative, less needlessly confrontational’ (Shephard and Cairney, 2005: 303; Arter, 2004: 71; Cairney, 2006: 181; Thompson, 2016: 43). Part of this was </w:t>
      </w:r>
      <w:r w:rsidR="00C5391F" w:rsidRPr="00FE5432">
        <w:rPr>
          <w:rFonts w:ascii="Times New Roman" w:hAnsi="Times New Roman" w:cs="Times New Roman"/>
          <w:color w:val="000000" w:themeColor="text1"/>
        </w:rPr>
        <w:t>‘powerful committees</w:t>
      </w:r>
      <w:r w:rsidR="002F4B06">
        <w:rPr>
          <w:rFonts w:ascii="Times New Roman" w:hAnsi="Times New Roman" w:cs="Times New Roman"/>
          <w:color w:val="000000" w:themeColor="text1"/>
        </w:rPr>
        <w:t>’ to</w:t>
      </w:r>
      <w:r w:rsidR="00C5391F" w:rsidRPr="00FE5432">
        <w:rPr>
          <w:rFonts w:ascii="Times New Roman" w:hAnsi="Times New Roman" w:cs="Times New Roman"/>
          <w:color w:val="000000" w:themeColor="text1"/>
        </w:rPr>
        <w:t xml:space="preserve"> </w:t>
      </w:r>
      <w:r w:rsidR="002F4B06">
        <w:rPr>
          <w:rFonts w:ascii="Times New Roman" w:hAnsi="Times New Roman" w:cs="Times New Roman"/>
          <w:color w:val="000000" w:themeColor="text1"/>
        </w:rPr>
        <w:t>‘</w:t>
      </w:r>
      <w:r w:rsidR="00C5391F" w:rsidRPr="00FE5432">
        <w:rPr>
          <w:rFonts w:ascii="Times New Roman" w:hAnsi="Times New Roman" w:cs="Times New Roman"/>
          <w:color w:val="000000" w:themeColor="text1"/>
        </w:rPr>
        <w:t xml:space="preserve">consider government </w:t>
      </w:r>
      <w:r w:rsidR="00C5391F" w:rsidRPr="00FE5432">
        <w:rPr>
          <w:rFonts w:ascii="Times New Roman" w:hAnsi="Times New Roman" w:cs="Times New Roman"/>
          <w:color w:val="000000" w:themeColor="text1"/>
        </w:rPr>
        <w:lastRenderedPageBreak/>
        <w:t>legislation’ (Mitchell, 2010: 104; Arter, 2004: 74)</w:t>
      </w:r>
      <w:r w:rsidR="00C5391F" w:rsidRPr="00FE5432">
        <w:rPr>
          <w:rFonts w:ascii="Times New Roman" w:hAnsi="Times New Roman" w:cs="Times New Roman"/>
        </w:rPr>
        <w:t xml:space="preserve">. </w:t>
      </w:r>
      <w:r w:rsidR="00E512FD" w:rsidRPr="00FE5432">
        <w:rPr>
          <w:rFonts w:ascii="Times New Roman" w:hAnsi="Times New Roman" w:cs="Times New Roman"/>
        </w:rPr>
        <w:t xml:space="preserve">Yet, the </w:t>
      </w:r>
      <w:r w:rsidR="00E512FD" w:rsidRPr="00FE5432">
        <w:rPr>
          <w:rFonts w:ascii="Times New Roman" w:eastAsia="Times New Roman" w:hAnsi="Times New Roman" w:cs="Times New Roman"/>
          <w:lang w:eastAsia="en-GB"/>
        </w:rPr>
        <w:t>dominant PDT has been somewhat extended to cover the devolved institution</w:t>
      </w:r>
      <w:r w:rsidR="00E512FD" w:rsidRPr="00FE5432">
        <w:rPr>
          <w:rFonts w:ascii="Times New Roman" w:hAnsi="Times New Roman" w:cs="Times New Roman"/>
        </w:rPr>
        <w:t>.</w:t>
      </w:r>
      <w:r w:rsidR="00DC439F" w:rsidRPr="00FE5432">
        <w:rPr>
          <w:rFonts w:ascii="Times New Roman" w:hAnsi="Times New Roman" w:cs="Times New Roman"/>
        </w:rPr>
        <w:t xml:space="preserve"> McHarg concluded </w:t>
      </w:r>
      <w:r w:rsidR="00DC439F" w:rsidRPr="00FE5432">
        <w:rPr>
          <w:rFonts w:ascii="Times New Roman" w:hAnsi="Times New Roman" w:cs="Times New Roman"/>
          <w:color w:val="000000" w:themeColor="text1"/>
        </w:rPr>
        <w:t xml:space="preserve">‘aspirations for greater power sharing’ were not realised and Halpin </w:t>
      </w:r>
      <w:r w:rsidR="00DC439F" w:rsidRPr="00FE5432">
        <w:rPr>
          <w:rFonts w:ascii="Times New Roman" w:hAnsi="Times New Roman" w:cs="Times New Roman"/>
          <w:i/>
          <w:iCs/>
          <w:color w:val="000000" w:themeColor="text1"/>
        </w:rPr>
        <w:t>et al</w:t>
      </w:r>
      <w:r w:rsidR="00DC439F" w:rsidRPr="00FE5432">
        <w:rPr>
          <w:rFonts w:ascii="Times New Roman" w:hAnsi="Times New Roman" w:cs="Times New Roman"/>
          <w:color w:val="000000" w:themeColor="text1"/>
        </w:rPr>
        <w:t xml:space="preserve"> that committees </w:t>
      </w:r>
      <w:r w:rsidR="00E9319B">
        <w:rPr>
          <w:rFonts w:ascii="Times New Roman" w:hAnsi="Times New Roman" w:cs="Times New Roman"/>
          <w:color w:val="000000" w:themeColor="text1"/>
        </w:rPr>
        <w:t>are</w:t>
      </w:r>
      <w:r w:rsidR="00DC439F" w:rsidRPr="00FE5432">
        <w:rPr>
          <w:rFonts w:ascii="Times New Roman" w:hAnsi="Times New Roman" w:cs="Times New Roman"/>
          <w:color w:val="000000" w:themeColor="text1"/>
        </w:rPr>
        <w:t xml:space="preserve"> </w:t>
      </w:r>
      <w:r w:rsidR="00E9319B">
        <w:rPr>
          <w:rFonts w:ascii="Times New Roman" w:hAnsi="Times New Roman" w:cs="Times New Roman"/>
          <w:color w:val="000000" w:themeColor="text1"/>
        </w:rPr>
        <w:t>‘</w:t>
      </w:r>
      <w:r w:rsidR="00DC439F" w:rsidRPr="00FE5432">
        <w:rPr>
          <w:rFonts w:ascii="Times New Roman" w:hAnsi="Times New Roman" w:cs="Times New Roman"/>
          <w:color w:val="000000" w:themeColor="text1"/>
        </w:rPr>
        <w:t>somewhat disappointing’ in ‘legislative impact’ (2017: 110; 2012: 303).</w:t>
      </w:r>
      <w:r w:rsidR="00DC439F" w:rsidRPr="00FE5432">
        <w:rPr>
          <w:rFonts w:ascii="Times New Roman" w:hAnsi="Times New Roman" w:cs="Times New Roman"/>
        </w:rPr>
        <w:t xml:space="preserve"> </w:t>
      </w:r>
      <w:r w:rsidR="00C5391F" w:rsidRPr="00FE5432">
        <w:rPr>
          <w:rFonts w:ascii="Times New Roman" w:hAnsi="Times New Roman" w:cs="Times New Roman"/>
        </w:rPr>
        <w:t xml:space="preserve">Mitchell </w:t>
      </w:r>
      <w:r w:rsidR="00DC439F" w:rsidRPr="00FE5432">
        <w:rPr>
          <w:rFonts w:ascii="Times New Roman" w:hAnsi="Times New Roman" w:cs="Times New Roman"/>
        </w:rPr>
        <w:t xml:space="preserve">recently </w:t>
      </w:r>
      <w:r w:rsidR="00C5391F" w:rsidRPr="00FE5432">
        <w:rPr>
          <w:rFonts w:ascii="Times New Roman" w:hAnsi="Times New Roman" w:cs="Times New Roman"/>
        </w:rPr>
        <w:t>describ</w:t>
      </w:r>
      <w:r w:rsidR="00DC439F" w:rsidRPr="00FE5432">
        <w:rPr>
          <w:rFonts w:ascii="Times New Roman" w:hAnsi="Times New Roman" w:cs="Times New Roman"/>
        </w:rPr>
        <w:t>ed</w:t>
      </w:r>
      <w:r w:rsidR="00C5391F" w:rsidRPr="00FE5432">
        <w:rPr>
          <w:rFonts w:ascii="Times New Roman" w:hAnsi="Times New Roman" w:cs="Times New Roman"/>
        </w:rPr>
        <w:t xml:space="preserve"> </w:t>
      </w:r>
      <w:r w:rsidR="00F01949" w:rsidRPr="00FE5432">
        <w:rPr>
          <w:rFonts w:ascii="Times New Roman" w:hAnsi="Times New Roman" w:cs="Times New Roman"/>
        </w:rPr>
        <w:t>committees as</w:t>
      </w:r>
      <w:r w:rsidR="00C5391F" w:rsidRPr="00FE5432">
        <w:rPr>
          <w:rFonts w:ascii="Times New Roman" w:hAnsi="Times New Roman" w:cs="Times New Roman"/>
        </w:rPr>
        <w:t xml:space="preserve"> ‘denuded of authority’ (2022: 3</w:t>
      </w:r>
      <w:r w:rsidR="00057386" w:rsidRPr="00FE5432">
        <w:rPr>
          <w:rFonts w:ascii="Times New Roman" w:hAnsi="Times New Roman" w:cs="Times New Roman"/>
        </w:rPr>
        <w:t xml:space="preserve">; </w:t>
      </w:r>
      <w:r w:rsidR="00057386" w:rsidRPr="00FE5432">
        <w:rPr>
          <w:rFonts w:ascii="Times New Roman" w:hAnsi="Times New Roman" w:cs="Times New Roman"/>
          <w:color w:val="000000" w:themeColor="text1"/>
        </w:rPr>
        <w:t>2010: 111</w:t>
      </w:r>
      <w:r w:rsidR="00C5391F" w:rsidRPr="00FE5432">
        <w:rPr>
          <w:rFonts w:ascii="Times New Roman" w:hAnsi="Times New Roman" w:cs="Times New Roman"/>
        </w:rPr>
        <w:t xml:space="preserve">). </w:t>
      </w:r>
      <w:r w:rsidR="00955707" w:rsidRPr="00FE5432">
        <w:rPr>
          <w:rFonts w:ascii="Times New Roman" w:eastAsia="Times New Roman" w:hAnsi="Times New Roman" w:cs="Times New Roman"/>
          <w:lang w:eastAsia="en-GB"/>
        </w:rPr>
        <w:t>Thus</w:t>
      </w:r>
      <w:r w:rsidR="00C5391F" w:rsidRPr="00FE5432">
        <w:rPr>
          <w:rFonts w:ascii="Times New Roman" w:eastAsia="Times New Roman" w:hAnsi="Times New Roman" w:cs="Times New Roman"/>
          <w:lang w:eastAsia="en-GB"/>
        </w:rPr>
        <w:t>, this paper seeks not just to assess the PDT</w:t>
      </w:r>
      <w:r w:rsidR="00955707" w:rsidRPr="00FE5432">
        <w:rPr>
          <w:rFonts w:ascii="Times New Roman" w:eastAsia="Times New Roman" w:hAnsi="Times New Roman" w:cs="Times New Roman"/>
          <w:lang w:eastAsia="en-GB"/>
        </w:rPr>
        <w:t>’s accuracy</w:t>
      </w:r>
      <w:r w:rsidR="00C5391F" w:rsidRPr="00FE5432">
        <w:rPr>
          <w:rFonts w:ascii="Times New Roman" w:eastAsia="Times New Roman" w:hAnsi="Times New Roman" w:cs="Times New Roman"/>
          <w:lang w:eastAsia="en-GB"/>
        </w:rPr>
        <w:t xml:space="preserve"> </w:t>
      </w:r>
      <w:r w:rsidR="002137A9" w:rsidRPr="00FE5432">
        <w:rPr>
          <w:rFonts w:ascii="Times New Roman" w:eastAsia="Times New Roman" w:hAnsi="Times New Roman" w:cs="Times New Roman"/>
          <w:lang w:eastAsia="en-GB"/>
        </w:rPr>
        <w:t>concerning</w:t>
      </w:r>
      <w:r w:rsidR="00A04698" w:rsidRPr="00FE5432">
        <w:rPr>
          <w:rFonts w:ascii="Times New Roman" w:eastAsia="Times New Roman" w:hAnsi="Times New Roman" w:cs="Times New Roman"/>
          <w:lang w:eastAsia="en-GB"/>
        </w:rPr>
        <w:t xml:space="preserve"> committee stage</w:t>
      </w:r>
      <w:r w:rsidR="00C5391F" w:rsidRPr="00FE5432">
        <w:rPr>
          <w:rFonts w:ascii="Times New Roman" w:eastAsia="Times New Roman" w:hAnsi="Times New Roman" w:cs="Times New Roman"/>
          <w:lang w:eastAsia="en-GB"/>
        </w:rPr>
        <w:t xml:space="preserve">, but to contribute to </w:t>
      </w:r>
      <w:r w:rsidR="00DD24F2" w:rsidRPr="00FE5432">
        <w:rPr>
          <w:rFonts w:ascii="Times New Roman" w:eastAsia="Times New Roman" w:hAnsi="Times New Roman" w:cs="Times New Roman"/>
          <w:lang w:eastAsia="en-GB"/>
        </w:rPr>
        <w:t>Holyrood’s</w:t>
      </w:r>
      <w:r w:rsidR="00C5391F" w:rsidRPr="00FE5432">
        <w:rPr>
          <w:rFonts w:ascii="Times New Roman" w:eastAsia="Times New Roman" w:hAnsi="Times New Roman" w:cs="Times New Roman"/>
          <w:lang w:eastAsia="en-GB"/>
        </w:rPr>
        <w:t xml:space="preserve"> </w:t>
      </w:r>
      <w:r w:rsidR="00F01949" w:rsidRPr="00FE5432">
        <w:rPr>
          <w:rFonts w:ascii="Times New Roman" w:eastAsia="Times New Roman" w:hAnsi="Times New Roman" w:cs="Times New Roman"/>
          <w:lang w:eastAsia="en-GB"/>
        </w:rPr>
        <w:t>emerging</w:t>
      </w:r>
      <w:r w:rsidR="00C5391F" w:rsidRPr="00FE5432">
        <w:rPr>
          <w:rFonts w:ascii="Times New Roman" w:eastAsia="Times New Roman" w:hAnsi="Times New Roman" w:cs="Times New Roman"/>
          <w:lang w:eastAsia="en-GB"/>
        </w:rPr>
        <w:t xml:space="preserve"> literature </w:t>
      </w:r>
      <w:r w:rsidR="00DD24F2" w:rsidRPr="00FE5432">
        <w:rPr>
          <w:rFonts w:ascii="Times New Roman" w:eastAsia="Times New Roman" w:hAnsi="Times New Roman" w:cs="Times New Roman"/>
          <w:lang w:eastAsia="en-GB"/>
        </w:rPr>
        <w:t>on</w:t>
      </w:r>
      <w:r w:rsidR="00C5391F" w:rsidRPr="00FE5432">
        <w:rPr>
          <w:rFonts w:ascii="Times New Roman" w:hAnsi="Times New Roman" w:cs="Times New Roman"/>
        </w:rPr>
        <w:t xml:space="preserve"> whether </w:t>
      </w:r>
      <w:r w:rsidR="000A5840">
        <w:rPr>
          <w:rFonts w:ascii="Times New Roman" w:hAnsi="Times New Roman" w:cs="Times New Roman"/>
        </w:rPr>
        <w:t xml:space="preserve">its </w:t>
      </w:r>
      <w:r w:rsidR="00C5391F" w:rsidRPr="00FE5432">
        <w:rPr>
          <w:rFonts w:ascii="Times New Roman" w:hAnsi="Times New Roman" w:cs="Times New Roman"/>
        </w:rPr>
        <w:t>committees are indeed more influential than Westminster</w:t>
      </w:r>
      <w:r w:rsidR="000D033F">
        <w:rPr>
          <w:rFonts w:ascii="Times New Roman" w:hAnsi="Times New Roman" w:cs="Times New Roman"/>
        </w:rPr>
        <w:t>’s</w:t>
      </w:r>
      <w:r w:rsidR="00BA03C3" w:rsidRPr="00FE5432">
        <w:rPr>
          <w:rFonts w:ascii="Times New Roman" w:hAnsi="Times New Roman" w:cs="Times New Roman"/>
        </w:rPr>
        <w:t>.</w:t>
      </w:r>
    </w:p>
    <w:p w14:paraId="5CD7EEEE" w14:textId="64ADB246" w:rsidR="009A0E16" w:rsidRPr="00FE5432" w:rsidRDefault="009A0E16" w:rsidP="00FE5432">
      <w:pPr>
        <w:spacing w:line="480" w:lineRule="auto"/>
        <w:ind w:firstLine="720"/>
        <w:rPr>
          <w:rFonts w:ascii="Times New Roman" w:hAnsi="Times New Roman" w:cs="Times New Roman"/>
        </w:rPr>
      </w:pPr>
      <w:r w:rsidRPr="00FE5432">
        <w:rPr>
          <w:rFonts w:ascii="Times New Roman" w:hAnsi="Times New Roman" w:cs="Times New Roman"/>
          <w:color w:val="000000" w:themeColor="text1"/>
        </w:rPr>
        <w:t xml:space="preserve"> </w:t>
      </w:r>
    </w:p>
    <w:p w14:paraId="08506418" w14:textId="68F8DFBC" w:rsidR="004A62A5" w:rsidRPr="00FE5432" w:rsidRDefault="00DC439F" w:rsidP="00FE5432">
      <w:pPr>
        <w:spacing w:line="480" w:lineRule="auto"/>
        <w:ind w:firstLine="720"/>
        <w:rPr>
          <w:rFonts w:ascii="Times New Roman" w:hAnsi="Times New Roman" w:cs="Times New Roman"/>
        </w:rPr>
      </w:pPr>
      <w:r w:rsidRPr="00FE5432">
        <w:rPr>
          <w:rFonts w:ascii="Times New Roman" w:hAnsi="Times New Roman" w:cs="Times New Roman"/>
        </w:rPr>
        <w:t>The</w:t>
      </w:r>
      <w:r w:rsidR="00E2251E" w:rsidRPr="00FE5432">
        <w:rPr>
          <w:rFonts w:ascii="Times New Roman" w:hAnsi="Times New Roman" w:cs="Times New Roman"/>
        </w:rPr>
        <w:t xml:space="preserve"> strongest elements of </w:t>
      </w:r>
      <w:r w:rsidR="009A0E16" w:rsidRPr="00FE5432">
        <w:rPr>
          <w:rFonts w:ascii="Times New Roman" w:hAnsi="Times New Roman" w:cs="Times New Roman"/>
        </w:rPr>
        <w:t xml:space="preserve">previous studies’ </w:t>
      </w:r>
      <w:r w:rsidR="00E2251E" w:rsidRPr="00FE5432">
        <w:rPr>
          <w:rFonts w:ascii="Times New Roman" w:hAnsi="Times New Roman" w:cs="Times New Roman"/>
        </w:rPr>
        <w:t xml:space="preserve">methodologies </w:t>
      </w:r>
      <w:r w:rsidR="009A0E16" w:rsidRPr="00FE5432">
        <w:rPr>
          <w:rFonts w:ascii="Times New Roman" w:hAnsi="Times New Roman" w:cs="Times New Roman"/>
        </w:rPr>
        <w:t>are adapted and combined to</w:t>
      </w:r>
      <w:r w:rsidR="00E2251E" w:rsidRPr="00FE5432">
        <w:rPr>
          <w:rFonts w:ascii="Times New Roman" w:hAnsi="Times New Roman" w:cs="Times New Roman"/>
        </w:rPr>
        <w:t xml:space="preserve"> measur</w:t>
      </w:r>
      <w:r w:rsidR="009A0E16" w:rsidRPr="00FE5432">
        <w:rPr>
          <w:rFonts w:ascii="Times New Roman" w:hAnsi="Times New Roman" w:cs="Times New Roman"/>
        </w:rPr>
        <w:t>e</w:t>
      </w:r>
      <w:r w:rsidR="00E2251E" w:rsidRPr="00FE5432">
        <w:rPr>
          <w:rFonts w:ascii="Times New Roman" w:hAnsi="Times New Roman" w:cs="Times New Roman"/>
        </w:rPr>
        <w:t xml:space="preserve"> </w:t>
      </w:r>
      <w:r w:rsidR="007C5CB3" w:rsidRPr="00FE5432">
        <w:rPr>
          <w:rFonts w:ascii="Times New Roman" w:hAnsi="Times New Roman" w:cs="Times New Roman"/>
        </w:rPr>
        <w:t>influence.</w:t>
      </w:r>
      <w:r w:rsidR="00E2251E" w:rsidRPr="00FE5432">
        <w:rPr>
          <w:rFonts w:ascii="Times New Roman" w:hAnsi="Times New Roman" w:cs="Times New Roman"/>
        </w:rPr>
        <w:t xml:space="preserve"> </w:t>
      </w:r>
      <w:r w:rsidR="00A11799" w:rsidRPr="00FE5432">
        <w:rPr>
          <w:rFonts w:ascii="Times New Roman" w:hAnsi="Times New Roman" w:cs="Times New Roman"/>
        </w:rPr>
        <w:t xml:space="preserve">Perhaps the cornerstone study </w:t>
      </w:r>
      <w:r w:rsidR="00CF6F53" w:rsidRPr="00FE5432">
        <w:rPr>
          <w:rFonts w:ascii="Times New Roman" w:hAnsi="Times New Roman" w:cs="Times New Roman"/>
        </w:rPr>
        <w:t>is</w:t>
      </w:r>
      <w:r w:rsidR="00A11799" w:rsidRPr="00FE5432">
        <w:rPr>
          <w:rFonts w:ascii="Times New Roman" w:hAnsi="Times New Roman" w:cs="Times New Roman"/>
        </w:rPr>
        <w:t xml:space="preserve"> Griffith’s 1974 work</w:t>
      </w:r>
      <w:r w:rsidR="00CF6F53" w:rsidRPr="00FE5432">
        <w:rPr>
          <w:rFonts w:ascii="Times New Roman" w:hAnsi="Times New Roman" w:cs="Times New Roman"/>
        </w:rPr>
        <w:t>—</w:t>
      </w:r>
      <w:r w:rsidR="00A11799" w:rsidRPr="00FE5432">
        <w:rPr>
          <w:rFonts w:ascii="Times New Roman" w:hAnsi="Times New Roman" w:cs="Times New Roman"/>
        </w:rPr>
        <w:t>the first major s</w:t>
      </w:r>
      <w:r w:rsidR="00144D79">
        <w:rPr>
          <w:rFonts w:ascii="Times New Roman" w:hAnsi="Times New Roman" w:cs="Times New Roman"/>
        </w:rPr>
        <w:t>urvey</w:t>
      </w:r>
      <w:r w:rsidR="00A11799" w:rsidRPr="00FE5432">
        <w:rPr>
          <w:rFonts w:ascii="Times New Roman" w:hAnsi="Times New Roman" w:cs="Times New Roman"/>
        </w:rPr>
        <w:t xml:space="preserve"> focus</w:t>
      </w:r>
      <w:r w:rsidR="0097508B" w:rsidRPr="00FE5432">
        <w:rPr>
          <w:rFonts w:ascii="Times New Roman" w:hAnsi="Times New Roman" w:cs="Times New Roman"/>
        </w:rPr>
        <w:t>ing</w:t>
      </w:r>
      <w:r w:rsidR="00A11799" w:rsidRPr="00FE5432">
        <w:rPr>
          <w:rFonts w:ascii="Times New Roman" w:hAnsi="Times New Roman" w:cs="Times New Roman"/>
        </w:rPr>
        <w:t xml:space="preserve"> on </w:t>
      </w:r>
      <w:r w:rsidR="009F6BB0" w:rsidRPr="00FE5432">
        <w:rPr>
          <w:rFonts w:ascii="Times New Roman" w:hAnsi="Times New Roman" w:cs="Times New Roman"/>
        </w:rPr>
        <w:t>PBC</w:t>
      </w:r>
      <w:r w:rsidR="00A11799" w:rsidRPr="00FE5432">
        <w:rPr>
          <w:rFonts w:ascii="Times New Roman" w:hAnsi="Times New Roman" w:cs="Times New Roman"/>
        </w:rPr>
        <w:t xml:space="preserve"> output</w:t>
      </w:r>
      <w:r w:rsidR="004C622D" w:rsidRPr="00FE5432">
        <w:rPr>
          <w:rFonts w:ascii="Times New Roman" w:hAnsi="Times New Roman" w:cs="Times New Roman"/>
        </w:rPr>
        <w:t>.</w:t>
      </w:r>
      <w:r w:rsidR="00A11799" w:rsidRPr="00FE5432">
        <w:rPr>
          <w:rFonts w:ascii="Times New Roman" w:hAnsi="Times New Roman" w:cs="Times New Roman"/>
        </w:rPr>
        <w:t xml:space="preserve"> Thompson</w:t>
      </w:r>
      <w:r w:rsidR="00CD71AB" w:rsidRPr="00FE5432">
        <w:rPr>
          <w:rFonts w:ascii="Times New Roman" w:hAnsi="Times New Roman" w:cs="Times New Roman"/>
        </w:rPr>
        <w:t xml:space="preserve"> </w:t>
      </w:r>
      <w:r w:rsidR="00A11799" w:rsidRPr="00FE5432">
        <w:rPr>
          <w:rFonts w:ascii="Times New Roman" w:hAnsi="Times New Roman" w:cs="Times New Roman"/>
        </w:rPr>
        <w:t>sought to execute</w:t>
      </w:r>
      <w:r w:rsidR="00E868FA" w:rsidRPr="00FE5432">
        <w:rPr>
          <w:rFonts w:ascii="Times New Roman" w:hAnsi="Times New Roman" w:cs="Times New Roman"/>
        </w:rPr>
        <w:t xml:space="preserve"> </w:t>
      </w:r>
      <w:r w:rsidR="002F70BF" w:rsidRPr="00FE5432">
        <w:rPr>
          <w:rFonts w:ascii="Times New Roman" w:hAnsi="Times New Roman" w:cs="Times New Roman"/>
        </w:rPr>
        <w:t xml:space="preserve">contemporary work ‘comparable </w:t>
      </w:r>
      <w:r w:rsidR="00E868FA" w:rsidRPr="00FE5432">
        <w:rPr>
          <w:rFonts w:ascii="Times New Roman" w:hAnsi="Times New Roman" w:cs="Times New Roman"/>
        </w:rPr>
        <w:t>with that of Griffith</w:t>
      </w:r>
      <w:r w:rsidR="00990DC3" w:rsidRPr="00FE5432">
        <w:rPr>
          <w:rFonts w:ascii="Times New Roman" w:hAnsi="Times New Roman" w:cs="Times New Roman"/>
        </w:rPr>
        <w:t xml:space="preserve">’, considering </w:t>
      </w:r>
      <w:r w:rsidR="00990DC3" w:rsidRPr="00FE5432">
        <w:rPr>
          <w:rFonts w:ascii="Times New Roman" w:eastAsia="Times New Roman" w:hAnsi="Times New Roman" w:cs="Times New Roman"/>
          <w:lang w:eastAsia="en-GB"/>
        </w:rPr>
        <w:t>139 bill committees from 2000-2010 (2016: 38)</w:t>
      </w:r>
      <w:r w:rsidR="002F70BF" w:rsidRPr="00FE5432">
        <w:rPr>
          <w:rFonts w:ascii="Times New Roman" w:eastAsia="Times New Roman" w:hAnsi="Times New Roman" w:cs="Times New Roman"/>
          <w:lang w:eastAsia="en-GB"/>
        </w:rPr>
        <w:t xml:space="preserve">. </w:t>
      </w:r>
      <w:r w:rsidR="002F70BF" w:rsidRPr="00FE5432">
        <w:rPr>
          <w:rFonts w:ascii="Times New Roman" w:hAnsi="Times New Roman" w:cs="Times New Roman"/>
        </w:rPr>
        <w:t>At Holyrood</w:t>
      </w:r>
      <w:r w:rsidR="00A11799" w:rsidRPr="00FE5432">
        <w:rPr>
          <w:rFonts w:ascii="Times New Roman" w:hAnsi="Times New Roman" w:cs="Times New Roman"/>
        </w:rPr>
        <w:t xml:space="preserve">, </w:t>
      </w:r>
      <w:r w:rsidR="00C92918" w:rsidRPr="00FE5432">
        <w:rPr>
          <w:rFonts w:ascii="Times New Roman" w:hAnsi="Times New Roman" w:cs="Times New Roman"/>
        </w:rPr>
        <w:t xml:space="preserve">Shephard and Cairney </w:t>
      </w:r>
      <w:r w:rsidR="00A11799" w:rsidRPr="00FE5432">
        <w:rPr>
          <w:rFonts w:ascii="Times New Roman" w:hAnsi="Times New Roman" w:cs="Times New Roman"/>
        </w:rPr>
        <w:t>carried out</w:t>
      </w:r>
      <w:r w:rsidR="00C92918" w:rsidRPr="00FE5432">
        <w:rPr>
          <w:rFonts w:ascii="Times New Roman" w:hAnsi="Times New Roman" w:cs="Times New Roman"/>
        </w:rPr>
        <w:t xml:space="preserve"> the ‘first systematic attempt</w:t>
      </w:r>
      <w:r w:rsidR="004D022B" w:rsidRPr="00FE5432">
        <w:rPr>
          <w:rFonts w:ascii="Times New Roman" w:hAnsi="Times New Roman" w:cs="Times New Roman"/>
        </w:rPr>
        <w:t xml:space="preserve">’ to evaluate </w:t>
      </w:r>
      <w:r w:rsidR="002921CC" w:rsidRPr="00FE5432">
        <w:rPr>
          <w:rFonts w:ascii="Times New Roman" w:hAnsi="Times New Roman" w:cs="Times New Roman"/>
        </w:rPr>
        <w:t>committees</w:t>
      </w:r>
      <w:r w:rsidR="00DE60CC" w:rsidRPr="00FE5432">
        <w:rPr>
          <w:rFonts w:ascii="Times New Roman" w:hAnsi="Times New Roman" w:cs="Times New Roman"/>
        </w:rPr>
        <w:t>’</w:t>
      </w:r>
      <w:r w:rsidR="004D022B" w:rsidRPr="00FE5432">
        <w:rPr>
          <w:rFonts w:ascii="Times New Roman" w:hAnsi="Times New Roman" w:cs="Times New Roman"/>
        </w:rPr>
        <w:t xml:space="preserve"> i</w:t>
      </w:r>
      <w:r w:rsidR="00372DFF" w:rsidRPr="00FE5432">
        <w:rPr>
          <w:rFonts w:ascii="Times New Roman" w:hAnsi="Times New Roman" w:cs="Times New Roman"/>
        </w:rPr>
        <w:t xml:space="preserve">nfluence </w:t>
      </w:r>
      <w:r w:rsidR="002F70BF" w:rsidRPr="00FE5432">
        <w:rPr>
          <w:rFonts w:ascii="Times New Roman" w:hAnsi="Times New Roman" w:cs="Times New Roman"/>
        </w:rPr>
        <w:t xml:space="preserve">on </w:t>
      </w:r>
      <w:r w:rsidR="00FF1377">
        <w:rPr>
          <w:rFonts w:ascii="Times New Roman" w:hAnsi="Times New Roman" w:cs="Times New Roman"/>
        </w:rPr>
        <w:t xml:space="preserve">government </w:t>
      </w:r>
      <w:r w:rsidR="002F70BF" w:rsidRPr="00FE5432">
        <w:rPr>
          <w:rFonts w:ascii="Times New Roman" w:hAnsi="Times New Roman" w:cs="Times New Roman"/>
        </w:rPr>
        <w:t xml:space="preserve">bills </w:t>
      </w:r>
      <w:r w:rsidR="00BB0050" w:rsidRPr="00FE5432">
        <w:rPr>
          <w:rFonts w:ascii="Times New Roman" w:hAnsi="Times New Roman" w:cs="Times New Roman"/>
        </w:rPr>
        <w:t xml:space="preserve">from </w:t>
      </w:r>
      <w:r w:rsidR="004D022B" w:rsidRPr="00FE5432">
        <w:rPr>
          <w:rFonts w:ascii="Times New Roman" w:hAnsi="Times New Roman" w:cs="Times New Roman"/>
        </w:rPr>
        <w:t>1999-2003</w:t>
      </w:r>
      <w:r w:rsidR="00BB0050" w:rsidRPr="00FE5432">
        <w:rPr>
          <w:rFonts w:ascii="Times New Roman" w:hAnsi="Times New Roman" w:cs="Times New Roman"/>
        </w:rPr>
        <w:t xml:space="preserve"> </w:t>
      </w:r>
      <w:r w:rsidR="004D022B" w:rsidRPr="00FE5432">
        <w:rPr>
          <w:rFonts w:ascii="Times New Roman" w:hAnsi="Times New Roman" w:cs="Times New Roman"/>
        </w:rPr>
        <w:t>(</w:t>
      </w:r>
      <w:r w:rsidR="00C92918" w:rsidRPr="00FE5432">
        <w:rPr>
          <w:rFonts w:ascii="Times New Roman" w:hAnsi="Times New Roman" w:cs="Times New Roman"/>
        </w:rPr>
        <w:t>2005: 303</w:t>
      </w:r>
      <w:r w:rsidR="00372DFF" w:rsidRPr="00FE5432">
        <w:rPr>
          <w:rFonts w:ascii="Times New Roman" w:hAnsi="Times New Roman" w:cs="Times New Roman"/>
        </w:rPr>
        <w:t xml:space="preserve">; </w:t>
      </w:r>
      <w:r w:rsidR="002F70BF" w:rsidRPr="00FE5432">
        <w:rPr>
          <w:rFonts w:ascii="Times New Roman" w:eastAsia="Times New Roman" w:hAnsi="Times New Roman" w:cs="Times New Roman"/>
          <w:lang w:eastAsia="en-GB"/>
        </w:rPr>
        <w:t xml:space="preserve">Cairney, 2006: </w:t>
      </w:r>
      <w:r w:rsidR="00745A78" w:rsidRPr="00FE5432">
        <w:rPr>
          <w:rFonts w:ascii="Times New Roman" w:eastAsia="Times New Roman" w:hAnsi="Times New Roman" w:cs="Times New Roman"/>
          <w:lang w:eastAsia="en-GB"/>
        </w:rPr>
        <w:t>185)</w:t>
      </w:r>
      <w:r w:rsidR="00745A78" w:rsidRPr="00FE5432">
        <w:rPr>
          <w:rFonts w:ascii="Times New Roman" w:hAnsi="Times New Roman" w:cs="Times New Roman"/>
        </w:rPr>
        <w:t xml:space="preserve">. </w:t>
      </w:r>
      <w:r w:rsidR="00E427A8" w:rsidRPr="00FE5432">
        <w:rPr>
          <w:rFonts w:ascii="Times New Roman" w:hAnsi="Times New Roman" w:cs="Times New Roman"/>
        </w:rPr>
        <w:t>A</w:t>
      </w:r>
      <w:r w:rsidR="003976FA" w:rsidRPr="00FE5432">
        <w:rPr>
          <w:rFonts w:ascii="Times New Roman" w:hAnsi="Times New Roman" w:cs="Times New Roman"/>
        </w:rPr>
        <w:t>n intra-UK</w:t>
      </w:r>
      <w:r w:rsidR="00A47C24" w:rsidRPr="00FE5432">
        <w:rPr>
          <w:rFonts w:ascii="Times New Roman" w:hAnsi="Times New Roman" w:cs="Times New Roman"/>
        </w:rPr>
        <w:t>, multi-level comparative study of bill committees has not yet been attempted</w:t>
      </w:r>
      <w:r w:rsidR="002837CE" w:rsidRPr="00FE5432">
        <w:rPr>
          <w:rFonts w:ascii="Times New Roman" w:hAnsi="Times New Roman" w:cs="Times New Roman"/>
        </w:rPr>
        <w:t>.</w:t>
      </w:r>
    </w:p>
    <w:p w14:paraId="19BA6AEE" w14:textId="1FA4E3AF" w:rsidR="00E868FA" w:rsidRPr="00FE5432" w:rsidRDefault="00E868FA" w:rsidP="00FE5432">
      <w:pPr>
        <w:spacing w:line="480" w:lineRule="auto"/>
        <w:rPr>
          <w:rFonts w:ascii="Times New Roman" w:hAnsi="Times New Roman" w:cs="Times New Roman"/>
        </w:rPr>
      </w:pPr>
    </w:p>
    <w:p w14:paraId="10C954A1" w14:textId="39EF3BC1" w:rsidR="002F70BF" w:rsidRPr="00FE5432" w:rsidRDefault="00A47C24" w:rsidP="00FE5432">
      <w:pPr>
        <w:spacing w:line="480" w:lineRule="auto"/>
        <w:ind w:firstLine="720"/>
        <w:rPr>
          <w:rFonts w:ascii="Times New Roman" w:hAnsi="Times New Roman" w:cs="Times New Roman"/>
        </w:rPr>
      </w:pPr>
      <w:r w:rsidRPr="00FE5432">
        <w:rPr>
          <w:rFonts w:ascii="Times New Roman" w:hAnsi="Times New Roman" w:cs="Times New Roman"/>
        </w:rPr>
        <w:t>The</w:t>
      </w:r>
      <w:r w:rsidR="004A62A5" w:rsidRPr="00FE5432">
        <w:rPr>
          <w:rFonts w:ascii="Times New Roman" w:hAnsi="Times New Roman" w:cs="Times New Roman"/>
        </w:rPr>
        <w:t xml:space="preserve"> above</w:t>
      </w:r>
      <w:r w:rsidRPr="00FE5432">
        <w:rPr>
          <w:rFonts w:ascii="Times New Roman" w:hAnsi="Times New Roman" w:cs="Times New Roman"/>
        </w:rPr>
        <w:t xml:space="preserve"> studies emphasise the importance of a mixed-methods approach. </w:t>
      </w:r>
      <w:r w:rsidR="00864844" w:rsidRPr="00FE5432">
        <w:rPr>
          <w:rFonts w:ascii="Times New Roman" w:hAnsi="Times New Roman" w:cs="Times New Roman"/>
        </w:rPr>
        <w:t>B</w:t>
      </w:r>
      <w:r w:rsidR="00240ED9" w:rsidRPr="00FE5432">
        <w:rPr>
          <w:rFonts w:ascii="Times New Roman" w:hAnsi="Times New Roman" w:cs="Times New Roman"/>
        </w:rPr>
        <w:t>asic quantitative metrics</w:t>
      </w:r>
      <w:r w:rsidR="00864844" w:rsidRPr="00FE5432">
        <w:rPr>
          <w:rFonts w:ascii="Times New Roman" w:hAnsi="Times New Roman" w:cs="Times New Roman"/>
        </w:rPr>
        <w:t>—</w:t>
      </w:r>
      <w:r w:rsidR="00240ED9" w:rsidRPr="00FE5432">
        <w:rPr>
          <w:rFonts w:ascii="Times New Roman" w:hAnsi="Times New Roman" w:cs="Times New Roman"/>
        </w:rPr>
        <w:t xml:space="preserve">recording the volume of </w:t>
      </w:r>
      <w:r w:rsidR="00864844" w:rsidRPr="00FE5432">
        <w:rPr>
          <w:rFonts w:ascii="Times New Roman" w:hAnsi="Times New Roman" w:cs="Times New Roman"/>
        </w:rPr>
        <w:t xml:space="preserve">successful non-government </w:t>
      </w:r>
      <w:r w:rsidR="00240ED9" w:rsidRPr="00FE5432">
        <w:rPr>
          <w:rFonts w:ascii="Times New Roman" w:hAnsi="Times New Roman" w:cs="Times New Roman"/>
        </w:rPr>
        <w:t>amendments</w:t>
      </w:r>
      <w:r w:rsidR="00864844" w:rsidRPr="00FE5432">
        <w:rPr>
          <w:rFonts w:ascii="Times New Roman" w:hAnsi="Times New Roman" w:cs="Times New Roman"/>
        </w:rPr>
        <w:t xml:space="preserve">—is central (Thompson, 2013: 461). </w:t>
      </w:r>
      <w:r w:rsidR="00B71C64">
        <w:rPr>
          <w:rFonts w:ascii="Times New Roman" w:hAnsi="Times New Roman" w:cs="Times New Roman"/>
        </w:rPr>
        <w:t>As discussed presently, c</w:t>
      </w:r>
      <w:r w:rsidR="00240ED9" w:rsidRPr="00FE5432">
        <w:rPr>
          <w:rFonts w:ascii="Times New Roman" w:hAnsi="Times New Roman" w:cs="Times New Roman"/>
        </w:rPr>
        <w:t xml:space="preserve">onsidered in isolation, </w:t>
      </w:r>
      <w:r w:rsidR="00864844" w:rsidRPr="00FE5432">
        <w:rPr>
          <w:rFonts w:ascii="Times New Roman" w:hAnsi="Times New Roman" w:cs="Times New Roman"/>
        </w:rPr>
        <w:t xml:space="preserve">they </w:t>
      </w:r>
      <w:r w:rsidR="000D1557">
        <w:rPr>
          <w:rFonts w:ascii="Times New Roman" w:hAnsi="Times New Roman" w:cs="Times New Roman"/>
        </w:rPr>
        <w:t xml:space="preserve">can </w:t>
      </w:r>
      <w:r w:rsidR="00240ED9" w:rsidRPr="00FE5432">
        <w:rPr>
          <w:rFonts w:ascii="Times New Roman" w:hAnsi="Times New Roman" w:cs="Times New Roman"/>
        </w:rPr>
        <w:t>prove ‘misleading’ (</w:t>
      </w:r>
      <w:r w:rsidR="00E868FA" w:rsidRPr="00FE5432">
        <w:rPr>
          <w:rFonts w:ascii="Times New Roman" w:hAnsi="Times New Roman" w:cs="Times New Roman"/>
        </w:rPr>
        <w:t>Arter, 2003, 86; Thompson, 2013</w:t>
      </w:r>
      <w:r w:rsidR="00750544" w:rsidRPr="00FE5432">
        <w:rPr>
          <w:rFonts w:ascii="Times New Roman" w:hAnsi="Times New Roman" w:cs="Times New Roman"/>
        </w:rPr>
        <w:t>: 461</w:t>
      </w:r>
      <w:r w:rsidR="00E868FA" w:rsidRPr="00FE5432">
        <w:rPr>
          <w:rFonts w:ascii="Times New Roman" w:hAnsi="Times New Roman" w:cs="Times New Roman"/>
        </w:rPr>
        <w:t>)</w:t>
      </w:r>
      <w:r w:rsidR="00240ED9" w:rsidRPr="00FE5432">
        <w:rPr>
          <w:rFonts w:ascii="Times New Roman" w:hAnsi="Times New Roman" w:cs="Times New Roman"/>
        </w:rPr>
        <w:t>.</w:t>
      </w:r>
      <w:r w:rsidR="00EF1F3E" w:rsidRPr="00FE5432">
        <w:rPr>
          <w:rFonts w:ascii="Times New Roman" w:hAnsi="Times New Roman" w:cs="Times New Roman"/>
        </w:rPr>
        <w:t xml:space="preserve"> </w:t>
      </w:r>
      <w:r w:rsidR="003D4529" w:rsidRPr="00FE5432">
        <w:rPr>
          <w:rFonts w:ascii="Times New Roman" w:hAnsi="Times New Roman" w:cs="Times New Roman"/>
        </w:rPr>
        <w:t>Therefore</w:t>
      </w:r>
      <w:r w:rsidR="002F70BF" w:rsidRPr="00FE5432">
        <w:rPr>
          <w:rFonts w:ascii="Times New Roman" w:hAnsi="Times New Roman" w:cs="Times New Roman"/>
        </w:rPr>
        <w:t>,</w:t>
      </w:r>
      <w:r w:rsidR="004147DF" w:rsidRPr="00FE5432">
        <w:rPr>
          <w:rFonts w:ascii="Times New Roman" w:hAnsi="Times New Roman" w:cs="Times New Roman"/>
        </w:rPr>
        <w:t xml:space="preserve"> </w:t>
      </w:r>
      <w:r w:rsidR="00C87D91">
        <w:rPr>
          <w:rFonts w:ascii="Times New Roman" w:hAnsi="Times New Roman" w:cs="Times New Roman"/>
        </w:rPr>
        <w:t>t</w:t>
      </w:r>
      <w:r w:rsidR="004147DF" w:rsidRPr="00FE5432">
        <w:rPr>
          <w:rFonts w:ascii="Times New Roman" w:hAnsi="Times New Roman" w:cs="Times New Roman"/>
        </w:rPr>
        <w:t>wo nuancing lines of investigation</w:t>
      </w:r>
      <w:r w:rsidR="003A7667" w:rsidRPr="00FE5432">
        <w:rPr>
          <w:rFonts w:ascii="Times New Roman" w:hAnsi="Times New Roman" w:cs="Times New Roman"/>
        </w:rPr>
        <w:t xml:space="preserve"> are adopted</w:t>
      </w:r>
      <w:r w:rsidR="004147DF" w:rsidRPr="00FE5432">
        <w:rPr>
          <w:rFonts w:ascii="Times New Roman" w:hAnsi="Times New Roman" w:cs="Times New Roman"/>
        </w:rPr>
        <w:t xml:space="preserve">. </w:t>
      </w:r>
      <w:r w:rsidR="002F70BF" w:rsidRPr="00FE5432">
        <w:rPr>
          <w:rFonts w:ascii="Times New Roman" w:hAnsi="Times New Roman" w:cs="Times New Roman"/>
        </w:rPr>
        <w:t>Firstly, in</w:t>
      </w:r>
      <w:r w:rsidR="004147DF" w:rsidRPr="00FE5432">
        <w:rPr>
          <w:rFonts w:ascii="Times New Roman" w:hAnsi="Times New Roman" w:cs="Times New Roman"/>
        </w:rPr>
        <w:t xml:space="preserve"> </w:t>
      </w:r>
      <w:r w:rsidR="00EF1F3E" w:rsidRPr="00FE5432">
        <w:rPr>
          <w:rFonts w:ascii="Times New Roman" w:hAnsi="Times New Roman" w:cs="Times New Roman"/>
        </w:rPr>
        <w:t>the</w:t>
      </w:r>
      <w:r w:rsidR="004147DF" w:rsidRPr="00FE5432">
        <w:rPr>
          <w:rFonts w:ascii="Times New Roman" w:hAnsi="Times New Roman" w:cs="Times New Roman"/>
        </w:rPr>
        <w:t xml:space="preserve"> </w:t>
      </w:r>
      <w:r w:rsidR="002F70BF" w:rsidRPr="00FE5432">
        <w:rPr>
          <w:rFonts w:ascii="Times New Roman" w:hAnsi="Times New Roman" w:cs="Times New Roman"/>
        </w:rPr>
        <w:t>‘</w:t>
      </w:r>
      <w:r w:rsidR="004147DF" w:rsidRPr="00FE5432">
        <w:rPr>
          <w:rFonts w:ascii="Times New Roman" w:hAnsi="Times New Roman" w:cs="Times New Roman"/>
        </w:rPr>
        <w:t>amendments</w:t>
      </w:r>
      <w:r w:rsidR="002F70BF" w:rsidRPr="00FE5432">
        <w:rPr>
          <w:rFonts w:ascii="Times New Roman" w:hAnsi="Times New Roman" w:cs="Times New Roman"/>
        </w:rPr>
        <w:t>’</w:t>
      </w:r>
      <w:r w:rsidR="00EF1F3E" w:rsidRPr="00FE5432">
        <w:rPr>
          <w:rFonts w:ascii="Times New Roman" w:hAnsi="Times New Roman" w:cs="Times New Roman"/>
        </w:rPr>
        <w:t xml:space="preserve"> section</w:t>
      </w:r>
      <w:r w:rsidR="002F70BF" w:rsidRPr="00FE5432">
        <w:rPr>
          <w:rFonts w:ascii="Times New Roman" w:hAnsi="Times New Roman" w:cs="Times New Roman"/>
        </w:rPr>
        <w:t>, the ‘substantive</w:t>
      </w:r>
      <w:r w:rsidR="00762465" w:rsidRPr="00FE5432">
        <w:rPr>
          <w:rFonts w:ascii="Times New Roman" w:hAnsi="Times New Roman" w:cs="Times New Roman"/>
        </w:rPr>
        <w:t>ness</w:t>
      </w:r>
      <w:r w:rsidR="002F70BF" w:rsidRPr="00FE5432">
        <w:rPr>
          <w:rFonts w:ascii="Times New Roman" w:hAnsi="Times New Roman" w:cs="Times New Roman"/>
        </w:rPr>
        <w:t xml:space="preserve">’ </w:t>
      </w:r>
      <w:r w:rsidR="00762465" w:rsidRPr="00FE5432">
        <w:rPr>
          <w:rFonts w:ascii="Times New Roman" w:hAnsi="Times New Roman" w:cs="Times New Roman"/>
        </w:rPr>
        <w:t xml:space="preserve">of changes </w:t>
      </w:r>
      <w:r w:rsidR="00D329BF" w:rsidRPr="00FE5432">
        <w:rPr>
          <w:rFonts w:ascii="Times New Roman" w:hAnsi="Times New Roman" w:cs="Times New Roman"/>
        </w:rPr>
        <w:t xml:space="preserve">is considered </w:t>
      </w:r>
      <w:r w:rsidR="004147DF" w:rsidRPr="00FE5432">
        <w:rPr>
          <w:rFonts w:ascii="Times New Roman" w:hAnsi="Times New Roman" w:cs="Times New Roman"/>
        </w:rPr>
        <w:t xml:space="preserve">(Thompson, 2013: 462; Russell and </w:t>
      </w:r>
      <w:proofErr w:type="spellStart"/>
      <w:r w:rsidR="004147DF" w:rsidRPr="00FE5432">
        <w:rPr>
          <w:rFonts w:ascii="Times New Roman" w:hAnsi="Times New Roman" w:cs="Times New Roman"/>
        </w:rPr>
        <w:t>Gover</w:t>
      </w:r>
      <w:proofErr w:type="spellEnd"/>
      <w:r w:rsidR="004147DF" w:rsidRPr="00FE5432">
        <w:rPr>
          <w:rFonts w:ascii="Times New Roman" w:hAnsi="Times New Roman" w:cs="Times New Roman"/>
        </w:rPr>
        <w:t xml:space="preserve">, 2017: 38; Cairney, 2005: 306-307). This paper adapts </w:t>
      </w:r>
      <w:r w:rsidR="00D329BF" w:rsidRPr="00FE5432">
        <w:rPr>
          <w:rFonts w:ascii="Times New Roman" w:hAnsi="Times New Roman" w:cs="Times New Roman"/>
        </w:rPr>
        <w:t xml:space="preserve">Shephard and Cairney’s </w:t>
      </w:r>
      <w:r w:rsidR="004147DF" w:rsidRPr="00FE5432">
        <w:rPr>
          <w:rFonts w:ascii="Times New Roman" w:hAnsi="Times New Roman" w:cs="Times New Roman"/>
        </w:rPr>
        <w:t xml:space="preserve">three-point scale </w:t>
      </w:r>
      <w:r w:rsidR="00D329BF" w:rsidRPr="00FE5432">
        <w:rPr>
          <w:rFonts w:ascii="Times New Roman" w:hAnsi="Times New Roman" w:cs="Times New Roman"/>
        </w:rPr>
        <w:t xml:space="preserve">(see </w:t>
      </w:r>
      <w:r w:rsidR="002F70BF" w:rsidRPr="00FE5432">
        <w:rPr>
          <w:rFonts w:ascii="Times New Roman" w:hAnsi="Times New Roman" w:cs="Times New Roman"/>
        </w:rPr>
        <w:t>Table 1</w:t>
      </w:r>
      <w:r w:rsidR="00D329BF" w:rsidRPr="00FE5432">
        <w:rPr>
          <w:rFonts w:ascii="Times New Roman" w:hAnsi="Times New Roman" w:cs="Times New Roman"/>
        </w:rPr>
        <w:t>)</w:t>
      </w:r>
      <w:r w:rsidR="002F70BF" w:rsidRPr="00FE5432">
        <w:rPr>
          <w:rFonts w:ascii="Times New Roman" w:hAnsi="Times New Roman" w:cs="Times New Roman"/>
        </w:rPr>
        <w:t xml:space="preserve">. </w:t>
      </w:r>
    </w:p>
    <w:p w14:paraId="5561B6E9" w14:textId="20B2E69B" w:rsidR="002F70BF" w:rsidRPr="00FE5432" w:rsidRDefault="002F70BF" w:rsidP="00FE5432">
      <w:pPr>
        <w:spacing w:line="480" w:lineRule="auto"/>
        <w:ind w:firstLine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70BF" w:rsidRPr="00FE5432" w14:paraId="6BF07177" w14:textId="77777777" w:rsidTr="002F70BF">
        <w:tc>
          <w:tcPr>
            <w:tcW w:w="4508" w:type="dxa"/>
          </w:tcPr>
          <w:p w14:paraId="7F69CDDD" w14:textId="41396416" w:rsidR="002F70BF" w:rsidRPr="00FE5432" w:rsidRDefault="002F70BF" w:rsidP="00FE543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FE5432">
              <w:rPr>
                <w:rFonts w:ascii="Times New Roman" w:hAnsi="Times New Roman" w:cs="Times New Roman"/>
                <w:b/>
                <w:bCs/>
              </w:rPr>
              <w:lastRenderedPageBreak/>
              <w:t>Type of amendment</w:t>
            </w:r>
          </w:p>
        </w:tc>
        <w:tc>
          <w:tcPr>
            <w:tcW w:w="4508" w:type="dxa"/>
          </w:tcPr>
          <w:p w14:paraId="190B9218" w14:textId="1B505D28" w:rsidR="002F70BF" w:rsidRPr="00FE5432" w:rsidRDefault="002F70BF" w:rsidP="00FE543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FE5432">
              <w:rPr>
                <w:rFonts w:ascii="Times New Roman" w:hAnsi="Times New Roman" w:cs="Times New Roman"/>
                <w:b/>
                <w:bCs/>
              </w:rPr>
              <w:t>Definition</w:t>
            </w:r>
          </w:p>
        </w:tc>
      </w:tr>
      <w:tr w:rsidR="002F70BF" w:rsidRPr="00FE5432" w14:paraId="48F3C421" w14:textId="77777777" w:rsidTr="002F70BF">
        <w:tc>
          <w:tcPr>
            <w:tcW w:w="4508" w:type="dxa"/>
          </w:tcPr>
          <w:p w14:paraId="023DDEC4" w14:textId="51A77069" w:rsidR="002F70BF" w:rsidRPr="00FE5432" w:rsidRDefault="002F70BF" w:rsidP="00FE543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5432">
              <w:rPr>
                <w:rFonts w:ascii="Times New Roman" w:hAnsi="Times New Roman" w:cs="Times New Roman"/>
              </w:rPr>
              <w:t>Typographical</w:t>
            </w:r>
          </w:p>
        </w:tc>
        <w:tc>
          <w:tcPr>
            <w:tcW w:w="4508" w:type="dxa"/>
          </w:tcPr>
          <w:p w14:paraId="1A97B47C" w14:textId="69CE8C0C" w:rsidR="002F70BF" w:rsidRPr="00FE5432" w:rsidRDefault="008C59D7" w:rsidP="00FE543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5432">
              <w:rPr>
                <w:rFonts w:ascii="Times New Roman" w:hAnsi="Times New Roman" w:cs="Times New Roman"/>
              </w:rPr>
              <w:t>C</w:t>
            </w:r>
            <w:r w:rsidR="002F70BF" w:rsidRPr="00FE5432">
              <w:rPr>
                <w:rFonts w:ascii="Times New Roman" w:hAnsi="Times New Roman" w:cs="Times New Roman"/>
              </w:rPr>
              <w:t>osmetic</w:t>
            </w:r>
            <w:r w:rsidRPr="00FE5432">
              <w:rPr>
                <w:rFonts w:ascii="Times New Roman" w:hAnsi="Times New Roman" w:cs="Times New Roman"/>
              </w:rPr>
              <w:t>/</w:t>
            </w:r>
            <w:r w:rsidR="002F70BF" w:rsidRPr="00FE5432">
              <w:rPr>
                <w:rFonts w:ascii="Times New Roman" w:hAnsi="Times New Roman" w:cs="Times New Roman"/>
              </w:rPr>
              <w:t xml:space="preserve">lexical </w:t>
            </w:r>
            <w:r w:rsidRPr="00FE5432">
              <w:rPr>
                <w:rFonts w:ascii="Times New Roman" w:hAnsi="Times New Roman" w:cs="Times New Roman"/>
              </w:rPr>
              <w:t>alterations</w:t>
            </w:r>
          </w:p>
        </w:tc>
      </w:tr>
      <w:tr w:rsidR="002F70BF" w:rsidRPr="00FE5432" w14:paraId="6981F685" w14:textId="77777777" w:rsidTr="002F70BF">
        <w:tc>
          <w:tcPr>
            <w:tcW w:w="4508" w:type="dxa"/>
          </w:tcPr>
          <w:p w14:paraId="4AB7F09E" w14:textId="2E387AAD" w:rsidR="002F70BF" w:rsidRPr="00FE5432" w:rsidRDefault="002F70BF" w:rsidP="00FE543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5432">
              <w:rPr>
                <w:rFonts w:ascii="Times New Roman" w:hAnsi="Times New Roman" w:cs="Times New Roman"/>
              </w:rPr>
              <w:t>Clarificatory</w:t>
            </w:r>
          </w:p>
        </w:tc>
        <w:tc>
          <w:tcPr>
            <w:tcW w:w="4508" w:type="dxa"/>
          </w:tcPr>
          <w:p w14:paraId="0D96B3F2" w14:textId="69318AB8" w:rsidR="002F70BF" w:rsidRPr="00FE5432" w:rsidRDefault="008C59D7" w:rsidP="00FE543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5432">
              <w:rPr>
                <w:rFonts w:ascii="Times New Roman" w:hAnsi="Times New Roman" w:cs="Times New Roman"/>
              </w:rPr>
              <w:t>Limits interpretation of provision</w:t>
            </w:r>
          </w:p>
        </w:tc>
      </w:tr>
      <w:tr w:rsidR="002F70BF" w:rsidRPr="00FE5432" w14:paraId="76946E43" w14:textId="77777777" w:rsidTr="002F70BF">
        <w:tc>
          <w:tcPr>
            <w:tcW w:w="4508" w:type="dxa"/>
          </w:tcPr>
          <w:p w14:paraId="39DB4194" w14:textId="525CFF47" w:rsidR="002F70BF" w:rsidRPr="00FE5432" w:rsidRDefault="002F70BF" w:rsidP="00FE543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5432">
              <w:rPr>
                <w:rFonts w:ascii="Times New Roman" w:hAnsi="Times New Roman" w:cs="Times New Roman"/>
              </w:rPr>
              <w:t>Substantive</w:t>
            </w:r>
          </w:p>
        </w:tc>
        <w:tc>
          <w:tcPr>
            <w:tcW w:w="4508" w:type="dxa"/>
          </w:tcPr>
          <w:p w14:paraId="2B6FAEDF" w14:textId="54DBB22F" w:rsidR="002F70BF" w:rsidRPr="00FE5432" w:rsidRDefault="008C59D7" w:rsidP="00FE543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5432">
              <w:rPr>
                <w:rFonts w:ascii="Times New Roman" w:hAnsi="Times New Roman" w:cs="Times New Roman"/>
              </w:rPr>
              <w:t xml:space="preserve">Changes effect of provision </w:t>
            </w:r>
          </w:p>
        </w:tc>
      </w:tr>
    </w:tbl>
    <w:p w14:paraId="213EB670" w14:textId="77777777" w:rsidR="002F70BF" w:rsidRPr="00FE5432" w:rsidRDefault="002F70BF" w:rsidP="00FE5432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0F2BAA29" w14:textId="2DE3939D" w:rsidR="004147DF" w:rsidRPr="00FE5432" w:rsidRDefault="002F70BF" w:rsidP="00FE5432">
      <w:pPr>
        <w:spacing w:line="480" w:lineRule="auto"/>
        <w:rPr>
          <w:rFonts w:ascii="Times New Roman" w:hAnsi="Times New Roman" w:cs="Times New Roman"/>
        </w:rPr>
      </w:pPr>
      <w:r w:rsidRPr="00FE5432">
        <w:rPr>
          <w:rFonts w:ascii="Times New Roman" w:hAnsi="Times New Roman" w:cs="Times New Roman"/>
        </w:rPr>
        <w:t xml:space="preserve">Table 1. Adapted from Shephard and Cairney, 2005: 307. </w:t>
      </w:r>
    </w:p>
    <w:p w14:paraId="61239C09" w14:textId="556A132A" w:rsidR="00240ED9" w:rsidRPr="00FE5432" w:rsidRDefault="00240ED9" w:rsidP="00FE5432">
      <w:pPr>
        <w:spacing w:line="480" w:lineRule="auto"/>
        <w:rPr>
          <w:rFonts w:ascii="Times New Roman" w:hAnsi="Times New Roman" w:cs="Times New Roman"/>
        </w:rPr>
      </w:pPr>
    </w:p>
    <w:p w14:paraId="51197D7F" w14:textId="523524F9" w:rsidR="00687762" w:rsidRPr="00FE5432" w:rsidRDefault="002F70BF" w:rsidP="00FE5432">
      <w:pPr>
        <w:spacing w:line="480" w:lineRule="auto"/>
        <w:ind w:firstLine="720"/>
        <w:rPr>
          <w:rFonts w:ascii="Times New Roman" w:hAnsi="Times New Roman" w:cs="Times New Roman"/>
        </w:rPr>
      </w:pPr>
      <w:r w:rsidRPr="00FE5432">
        <w:rPr>
          <w:rFonts w:ascii="Times New Roman" w:hAnsi="Times New Roman" w:cs="Times New Roman"/>
        </w:rPr>
        <w:t xml:space="preserve">Secondly, </w:t>
      </w:r>
      <w:r w:rsidR="00CC1DA2" w:rsidRPr="00FE5432">
        <w:rPr>
          <w:rFonts w:ascii="Times New Roman" w:hAnsi="Times New Roman" w:cs="Times New Roman"/>
        </w:rPr>
        <w:t>basic quantitative assessment</w:t>
      </w:r>
      <w:r w:rsidR="00A71C24" w:rsidRPr="00FE5432">
        <w:rPr>
          <w:rFonts w:ascii="Times New Roman" w:hAnsi="Times New Roman" w:cs="Times New Roman"/>
        </w:rPr>
        <w:t xml:space="preserve"> is qualified by </w:t>
      </w:r>
      <w:r w:rsidR="00EF33D0" w:rsidRPr="00FE5432">
        <w:rPr>
          <w:rFonts w:ascii="Times New Roman" w:hAnsi="Times New Roman" w:cs="Times New Roman"/>
        </w:rPr>
        <w:t>considering</w:t>
      </w:r>
      <w:r w:rsidR="00A71C24" w:rsidRPr="00FE5432">
        <w:rPr>
          <w:rFonts w:ascii="Times New Roman" w:hAnsi="Times New Roman" w:cs="Times New Roman"/>
        </w:rPr>
        <w:t xml:space="preserve"> assurances</w:t>
      </w:r>
      <w:r w:rsidR="00CC1DA2" w:rsidRPr="00FE5432">
        <w:rPr>
          <w:rFonts w:ascii="Times New Roman" w:hAnsi="Times New Roman" w:cs="Times New Roman"/>
        </w:rPr>
        <w:t xml:space="preserve">. </w:t>
      </w:r>
      <w:r w:rsidR="001C0BB4" w:rsidRPr="00FE5432">
        <w:rPr>
          <w:rFonts w:ascii="Times New Roman" w:hAnsi="Times New Roman" w:cs="Times New Roman"/>
        </w:rPr>
        <w:t>Geddes notes that</w:t>
      </w:r>
      <w:r w:rsidR="00EC5801" w:rsidRPr="00FE5432">
        <w:rPr>
          <w:rFonts w:ascii="Times New Roman" w:hAnsi="Times New Roman" w:cs="Times New Roman"/>
        </w:rPr>
        <w:t xml:space="preserve"> quantitative</w:t>
      </w:r>
      <w:r w:rsidR="006C0980" w:rsidRPr="00FE5432">
        <w:rPr>
          <w:rFonts w:ascii="Times New Roman" w:hAnsi="Times New Roman" w:cs="Times New Roman"/>
        </w:rPr>
        <w:t xml:space="preserve"> </w:t>
      </w:r>
      <w:r w:rsidR="001C0BB4" w:rsidRPr="00FE5432">
        <w:rPr>
          <w:rFonts w:ascii="Times New Roman" w:hAnsi="Times New Roman" w:cs="Times New Roman"/>
        </w:rPr>
        <w:t xml:space="preserve">‘institutionalist lenses’ </w:t>
      </w:r>
      <w:r w:rsidR="00A34234" w:rsidRPr="00FE5432">
        <w:rPr>
          <w:rFonts w:ascii="Times New Roman" w:hAnsi="Times New Roman" w:cs="Times New Roman"/>
        </w:rPr>
        <w:t>often eschew parliamentary influence</w:t>
      </w:r>
      <w:r w:rsidR="00E75098" w:rsidRPr="00FE5432">
        <w:rPr>
          <w:rFonts w:ascii="Times New Roman" w:hAnsi="Times New Roman" w:cs="Times New Roman"/>
        </w:rPr>
        <w:t xml:space="preserve"> </w:t>
      </w:r>
      <w:r w:rsidR="001C0BB4" w:rsidRPr="00FE5432">
        <w:rPr>
          <w:rFonts w:ascii="Times New Roman" w:hAnsi="Times New Roman" w:cs="Times New Roman"/>
        </w:rPr>
        <w:t>(Geddes, 2019: 822</w:t>
      </w:r>
      <w:r w:rsidR="005B7A1F">
        <w:rPr>
          <w:rFonts w:ascii="Times New Roman" w:hAnsi="Times New Roman" w:cs="Times New Roman"/>
        </w:rPr>
        <w:t>-</w:t>
      </w:r>
      <w:r w:rsidR="001C0BB4" w:rsidRPr="00FE5432">
        <w:rPr>
          <w:rFonts w:ascii="Times New Roman" w:hAnsi="Times New Roman" w:cs="Times New Roman"/>
        </w:rPr>
        <w:t xml:space="preserve">823). </w:t>
      </w:r>
      <w:r w:rsidR="005B7A1F">
        <w:rPr>
          <w:rFonts w:ascii="Times New Roman" w:hAnsi="Times New Roman" w:cs="Times New Roman"/>
        </w:rPr>
        <w:t>C</w:t>
      </w:r>
      <w:r w:rsidR="001C0BB4" w:rsidRPr="00FE5432">
        <w:rPr>
          <w:rFonts w:ascii="Times New Roman" w:hAnsi="Times New Roman" w:cs="Times New Roman"/>
        </w:rPr>
        <w:t>lassic articulation</w:t>
      </w:r>
      <w:r w:rsidR="005B7A1F">
        <w:rPr>
          <w:rFonts w:ascii="Times New Roman" w:hAnsi="Times New Roman" w:cs="Times New Roman"/>
        </w:rPr>
        <w:t>s</w:t>
      </w:r>
      <w:r w:rsidR="001C0BB4" w:rsidRPr="00FE5432">
        <w:rPr>
          <w:rFonts w:ascii="Times New Roman" w:hAnsi="Times New Roman" w:cs="Times New Roman"/>
        </w:rPr>
        <w:t xml:space="preserve"> of</w:t>
      </w:r>
      <w:r w:rsidR="00BC2113" w:rsidRPr="00FE5432">
        <w:rPr>
          <w:rFonts w:ascii="Times New Roman" w:hAnsi="Times New Roman" w:cs="Times New Roman"/>
        </w:rPr>
        <w:t xml:space="preserve"> </w:t>
      </w:r>
      <w:r w:rsidR="001C0BB4" w:rsidRPr="00FE5432">
        <w:rPr>
          <w:rFonts w:ascii="Times New Roman" w:hAnsi="Times New Roman" w:cs="Times New Roman"/>
        </w:rPr>
        <w:t xml:space="preserve">parliamentary soft power </w:t>
      </w:r>
      <w:r w:rsidR="005B7A1F">
        <w:rPr>
          <w:rFonts w:ascii="Times New Roman" w:hAnsi="Times New Roman" w:cs="Times New Roman"/>
        </w:rPr>
        <w:t xml:space="preserve">expound </w:t>
      </w:r>
      <w:r w:rsidR="00240ED9" w:rsidRPr="00FE5432">
        <w:rPr>
          <w:rFonts w:ascii="Times New Roman" w:hAnsi="Times New Roman" w:cs="Times New Roman"/>
        </w:rPr>
        <w:t xml:space="preserve">‘anticipated </w:t>
      </w:r>
      <w:r w:rsidR="00240ED9" w:rsidRPr="00FE5432">
        <w:rPr>
          <w:rFonts w:ascii="Times New Roman" w:hAnsi="Times New Roman" w:cs="Times New Roman"/>
          <w:color w:val="000000" w:themeColor="text1"/>
        </w:rPr>
        <w:t xml:space="preserve">reactions’ (Arter, 1985, </w:t>
      </w:r>
      <w:r w:rsidR="00240ED9" w:rsidRPr="00FE5432">
        <w:rPr>
          <w:rFonts w:ascii="Times New Roman" w:hAnsi="Times New Roman" w:cs="Times New Roman"/>
        </w:rPr>
        <w:t xml:space="preserve">68; Russell </w:t>
      </w:r>
      <w:r w:rsidR="00240ED9" w:rsidRPr="006102E7">
        <w:rPr>
          <w:rFonts w:ascii="Times New Roman" w:hAnsi="Times New Roman" w:cs="Times New Roman"/>
          <w:i/>
          <w:iCs/>
        </w:rPr>
        <w:t>et al</w:t>
      </w:r>
      <w:r w:rsidR="00240ED9" w:rsidRPr="00FE5432">
        <w:rPr>
          <w:rFonts w:ascii="Times New Roman" w:hAnsi="Times New Roman" w:cs="Times New Roman"/>
        </w:rPr>
        <w:t xml:space="preserve">, 2016: 291). </w:t>
      </w:r>
      <w:r w:rsidR="00935EA9" w:rsidRPr="00FE5432">
        <w:rPr>
          <w:rFonts w:ascii="Times New Roman" w:hAnsi="Times New Roman" w:cs="Times New Roman"/>
        </w:rPr>
        <w:t>G</w:t>
      </w:r>
      <w:r w:rsidR="00240ED9" w:rsidRPr="00FE5432">
        <w:rPr>
          <w:rFonts w:ascii="Times New Roman" w:hAnsi="Times New Roman" w:cs="Times New Roman"/>
        </w:rPr>
        <w:t xml:space="preserve">overnments </w:t>
      </w:r>
      <w:r w:rsidR="003804BE" w:rsidRPr="00FE5432">
        <w:rPr>
          <w:rFonts w:ascii="Times New Roman" w:hAnsi="Times New Roman" w:cs="Times New Roman"/>
        </w:rPr>
        <w:t>‘</w:t>
      </w:r>
      <w:r w:rsidR="00240ED9" w:rsidRPr="00FE5432">
        <w:rPr>
          <w:rFonts w:ascii="Times New Roman" w:hAnsi="Times New Roman" w:cs="Times New Roman"/>
        </w:rPr>
        <w:t xml:space="preserve">read the </w:t>
      </w:r>
      <w:r w:rsidR="003804BE" w:rsidRPr="00FE5432">
        <w:rPr>
          <w:rFonts w:ascii="Times New Roman" w:hAnsi="Times New Roman" w:cs="Times New Roman"/>
        </w:rPr>
        <w:t>rune</w:t>
      </w:r>
      <w:r w:rsidR="00AE520C" w:rsidRPr="00FE5432">
        <w:rPr>
          <w:rFonts w:ascii="Times New Roman" w:hAnsi="Times New Roman" w:cs="Times New Roman"/>
        </w:rPr>
        <w:t>s</w:t>
      </w:r>
      <w:r w:rsidR="003804BE" w:rsidRPr="00FE5432">
        <w:rPr>
          <w:rFonts w:ascii="Times New Roman" w:hAnsi="Times New Roman" w:cs="Times New Roman"/>
        </w:rPr>
        <w:t>’</w:t>
      </w:r>
      <w:r w:rsidR="00240ED9" w:rsidRPr="00FE5432">
        <w:rPr>
          <w:rFonts w:ascii="Times New Roman" w:hAnsi="Times New Roman" w:cs="Times New Roman"/>
        </w:rPr>
        <w:t xml:space="preserve"> </w:t>
      </w:r>
      <w:r w:rsidR="00AE520C" w:rsidRPr="00FE5432">
        <w:rPr>
          <w:rFonts w:ascii="Times New Roman" w:hAnsi="Times New Roman" w:cs="Times New Roman"/>
        </w:rPr>
        <w:t>in</w:t>
      </w:r>
      <w:r w:rsidR="00240ED9" w:rsidRPr="00FE5432">
        <w:rPr>
          <w:rFonts w:ascii="Times New Roman" w:hAnsi="Times New Roman" w:cs="Times New Roman"/>
        </w:rPr>
        <w:t xml:space="preserve"> parliament before introducing </w:t>
      </w:r>
      <w:r w:rsidR="00EC5801" w:rsidRPr="00FE5432">
        <w:rPr>
          <w:rFonts w:ascii="Times New Roman" w:hAnsi="Times New Roman" w:cs="Times New Roman"/>
        </w:rPr>
        <w:t>bills</w:t>
      </w:r>
      <w:r w:rsidR="003804BE" w:rsidRPr="00FE5432">
        <w:rPr>
          <w:rFonts w:ascii="Times New Roman" w:hAnsi="Times New Roman" w:cs="Times New Roman"/>
        </w:rPr>
        <w:t xml:space="preserve"> (</w:t>
      </w:r>
      <w:r w:rsidR="001C0BB4" w:rsidRPr="00FE5432">
        <w:rPr>
          <w:rFonts w:ascii="Times New Roman" w:hAnsi="Times New Roman" w:cs="Times New Roman"/>
          <w:color w:val="000000" w:themeColor="text1"/>
        </w:rPr>
        <w:t>Crewe, 2017: 32</w:t>
      </w:r>
      <w:r w:rsidR="003804BE" w:rsidRPr="00FE5432">
        <w:rPr>
          <w:rFonts w:ascii="Times New Roman" w:hAnsi="Times New Roman" w:cs="Times New Roman"/>
        </w:rPr>
        <w:t>)</w:t>
      </w:r>
      <w:r w:rsidR="00240ED9" w:rsidRPr="00FE5432">
        <w:rPr>
          <w:rFonts w:ascii="Times New Roman" w:hAnsi="Times New Roman" w:cs="Times New Roman"/>
        </w:rPr>
        <w:t xml:space="preserve">. </w:t>
      </w:r>
      <w:r w:rsidR="00766EC7" w:rsidRPr="00FE5432">
        <w:rPr>
          <w:rFonts w:ascii="Times New Roman" w:hAnsi="Times New Roman" w:cs="Times New Roman"/>
        </w:rPr>
        <w:t xml:space="preserve">Extending this </w:t>
      </w:r>
      <w:r w:rsidR="00E9293B" w:rsidRPr="00FE5432">
        <w:rPr>
          <w:rFonts w:ascii="Times New Roman" w:hAnsi="Times New Roman" w:cs="Times New Roman"/>
        </w:rPr>
        <w:t xml:space="preserve">classic rule, this paper considers the equivalent </w:t>
      </w:r>
      <w:r w:rsidR="00B66DB3" w:rsidRPr="00FE5432">
        <w:rPr>
          <w:rFonts w:ascii="Times New Roman" w:hAnsi="Times New Roman" w:cs="Times New Roman"/>
        </w:rPr>
        <w:t>soft power in</w:t>
      </w:r>
      <w:r w:rsidR="00240ED9" w:rsidRPr="00FE5432">
        <w:rPr>
          <w:rFonts w:ascii="Times New Roman" w:hAnsi="Times New Roman" w:cs="Times New Roman"/>
        </w:rPr>
        <w:t xml:space="preserve"> committee</w:t>
      </w:r>
      <w:r w:rsidR="001041A7" w:rsidRPr="00FE5432">
        <w:rPr>
          <w:rFonts w:ascii="Times New Roman" w:hAnsi="Times New Roman" w:cs="Times New Roman"/>
        </w:rPr>
        <w:t xml:space="preserve">: </w:t>
      </w:r>
      <w:r w:rsidR="00962F0B">
        <w:rPr>
          <w:rFonts w:ascii="Times New Roman" w:hAnsi="Times New Roman" w:cs="Times New Roman"/>
        </w:rPr>
        <w:t xml:space="preserve">securing </w:t>
      </w:r>
      <w:r w:rsidR="001041A7" w:rsidRPr="00FE5432">
        <w:rPr>
          <w:rFonts w:ascii="Times New Roman" w:hAnsi="Times New Roman" w:cs="Times New Roman"/>
        </w:rPr>
        <w:t>ministerial responses to concerns</w:t>
      </w:r>
      <w:r w:rsidR="00AE0B50" w:rsidRPr="00FE5432">
        <w:rPr>
          <w:rFonts w:ascii="Times New Roman" w:hAnsi="Times New Roman" w:cs="Times New Roman"/>
        </w:rPr>
        <w:t>—</w:t>
      </w:r>
      <w:r w:rsidR="00240ED9" w:rsidRPr="00FE5432">
        <w:rPr>
          <w:rFonts w:ascii="Times New Roman" w:hAnsi="Times New Roman" w:cs="Times New Roman"/>
        </w:rPr>
        <w:t>assurances</w:t>
      </w:r>
      <w:r w:rsidR="001041A7" w:rsidRPr="00FE5432">
        <w:rPr>
          <w:rFonts w:ascii="Times New Roman" w:hAnsi="Times New Roman" w:cs="Times New Roman"/>
        </w:rPr>
        <w:t xml:space="preserve"> </w:t>
      </w:r>
      <w:r w:rsidR="004147DF" w:rsidRPr="00FE5432">
        <w:rPr>
          <w:rFonts w:ascii="Times New Roman" w:hAnsi="Times New Roman" w:cs="Times New Roman"/>
        </w:rPr>
        <w:t>(Cairney, 2006: 195</w:t>
      </w:r>
      <w:r w:rsidR="00D92C04" w:rsidRPr="00FE5432">
        <w:rPr>
          <w:rFonts w:ascii="Times New Roman" w:hAnsi="Times New Roman" w:cs="Times New Roman"/>
        </w:rPr>
        <w:t xml:space="preserve">; </w:t>
      </w:r>
      <w:r w:rsidR="004147DF" w:rsidRPr="00FE5432">
        <w:rPr>
          <w:rFonts w:ascii="Times New Roman" w:hAnsi="Times New Roman" w:cs="Times New Roman"/>
        </w:rPr>
        <w:t xml:space="preserve">Thompson, 2013: 462; Griffith, 1974: 119; Russell and </w:t>
      </w:r>
      <w:proofErr w:type="spellStart"/>
      <w:r w:rsidR="004147DF" w:rsidRPr="00FE5432">
        <w:rPr>
          <w:rFonts w:ascii="Times New Roman" w:hAnsi="Times New Roman" w:cs="Times New Roman"/>
        </w:rPr>
        <w:t>Gover</w:t>
      </w:r>
      <w:proofErr w:type="spellEnd"/>
      <w:r w:rsidR="004147DF" w:rsidRPr="00FE5432">
        <w:rPr>
          <w:rFonts w:ascii="Times New Roman" w:hAnsi="Times New Roman" w:cs="Times New Roman"/>
        </w:rPr>
        <w:t>, 2017: 41; Crewe, 2017: 39).</w:t>
      </w:r>
      <w:r w:rsidR="00651DA2" w:rsidRPr="00FE5432">
        <w:rPr>
          <w:rFonts w:ascii="Times New Roman" w:hAnsi="Times New Roman" w:cs="Times New Roman"/>
        </w:rPr>
        <w:t xml:space="preserve"> </w:t>
      </w:r>
    </w:p>
    <w:p w14:paraId="2C0737D5" w14:textId="77777777" w:rsidR="00310E59" w:rsidRPr="00FE5432" w:rsidRDefault="00310E59" w:rsidP="00FE5432">
      <w:pPr>
        <w:spacing w:line="480" w:lineRule="auto"/>
        <w:rPr>
          <w:rFonts w:ascii="Times New Roman" w:hAnsi="Times New Roman" w:cs="Times New Roman"/>
        </w:rPr>
      </w:pPr>
    </w:p>
    <w:p w14:paraId="579E9296" w14:textId="42E95355" w:rsidR="00825801" w:rsidRPr="00FE5432" w:rsidRDefault="004D5F72" w:rsidP="00FE5432">
      <w:pPr>
        <w:spacing w:line="480" w:lineRule="auto"/>
        <w:rPr>
          <w:rFonts w:ascii="Times New Roman" w:hAnsi="Times New Roman" w:cs="Times New Roman"/>
          <w:b/>
          <w:bCs/>
        </w:rPr>
      </w:pPr>
      <w:r w:rsidRPr="00FE5432">
        <w:rPr>
          <w:rFonts w:ascii="Times New Roman" w:hAnsi="Times New Roman" w:cs="Times New Roman"/>
          <w:b/>
          <w:bCs/>
        </w:rPr>
        <w:t xml:space="preserve">Comparative analysis of </w:t>
      </w:r>
      <w:r w:rsidR="00687762" w:rsidRPr="00FE5432">
        <w:rPr>
          <w:rFonts w:ascii="Times New Roman" w:hAnsi="Times New Roman" w:cs="Times New Roman"/>
          <w:b/>
          <w:bCs/>
        </w:rPr>
        <w:t>amendments</w:t>
      </w:r>
    </w:p>
    <w:p w14:paraId="13954899" w14:textId="03DCD05D" w:rsidR="00F82289" w:rsidRPr="00FE5432" w:rsidRDefault="00300E11" w:rsidP="00FE5432">
      <w:pPr>
        <w:pStyle w:val="NormalWeb"/>
        <w:spacing w:line="480" w:lineRule="auto"/>
        <w:ind w:firstLine="720"/>
      </w:pPr>
      <w:r w:rsidRPr="00FE5432">
        <w:t xml:space="preserve">The influence of </w:t>
      </w:r>
      <w:r w:rsidR="00B71A20">
        <w:t xml:space="preserve">UK </w:t>
      </w:r>
      <w:r w:rsidRPr="00FE5432">
        <w:t xml:space="preserve">PBCs appears limited when considering the number of successful </w:t>
      </w:r>
      <w:r w:rsidR="00F503E1">
        <w:t>non-</w:t>
      </w:r>
      <w:r w:rsidR="009E648C">
        <w:t>executive</w:t>
      </w:r>
      <w:r w:rsidR="00F503E1">
        <w:t xml:space="preserve"> </w:t>
      </w:r>
      <w:r w:rsidRPr="00FE5432">
        <w:t xml:space="preserve">amendments actually made to government bills. </w:t>
      </w:r>
      <w:r w:rsidR="009874ED" w:rsidRPr="00FE5432">
        <w:t>Owing to</w:t>
      </w:r>
      <w:r w:rsidRPr="00FE5432">
        <w:t xml:space="preserve"> </w:t>
      </w:r>
      <w:r w:rsidR="00FE299F" w:rsidRPr="00FE5432">
        <w:t>the structure of</w:t>
      </w:r>
      <w:r w:rsidRPr="00FE5432">
        <w:t xml:space="preserve"> committees </w:t>
      </w:r>
      <w:r w:rsidR="001135D1">
        <w:t>on</w:t>
      </w:r>
      <w:r w:rsidRPr="00FE5432">
        <w:t xml:space="preserve"> </w:t>
      </w:r>
      <w:r w:rsidR="00141F75" w:rsidRPr="00FE5432">
        <w:t>Parliament’s</w:t>
      </w:r>
      <w:r w:rsidR="00FE299F" w:rsidRPr="00FE5432">
        <w:t xml:space="preserve"> </w:t>
      </w:r>
      <w:r w:rsidRPr="00FE5432">
        <w:t>political composition, the government dominates PBCs in terms of membership (Levy, 2010:</w:t>
      </w:r>
      <w:r w:rsidR="00AA0FAF" w:rsidRPr="00FE5432">
        <w:t xml:space="preserve"> </w:t>
      </w:r>
      <w:r w:rsidRPr="00FE5432">
        <w:t xml:space="preserve">543; Crewe, 2017: 39; Thompson, 2015: 53). </w:t>
      </w:r>
      <w:r w:rsidR="003C2811" w:rsidRPr="00FE5432">
        <w:t>It</w:t>
      </w:r>
      <w:r w:rsidR="00FE299F" w:rsidRPr="00FE5432">
        <w:t xml:space="preserve"> follows that </w:t>
      </w:r>
      <w:r w:rsidR="003C2811" w:rsidRPr="00FE5432">
        <w:t>government</w:t>
      </w:r>
      <w:r w:rsidR="00FE299F" w:rsidRPr="00FE5432">
        <w:t xml:space="preserve"> can </w:t>
      </w:r>
      <w:r w:rsidR="00D42161" w:rsidRPr="00FE5432">
        <w:t xml:space="preserve">easily </w:t>
      </w:r>
      <w:r w:rsidR="00FE299F" w:rsidRPr="00FE5432">
        <w:t>get its amendments through and resist non-government amendments</w:t>
      </w:r>
      <w:r w:rsidRPr="00FE5432">
        <w:t xml:space="preserve"> (Jeffrey and Mitchell, 2009: 25). </w:t>
      </w:r>
      <w:r w:rsidR="00825801" w:rsidRPr="00FE5432">
        <w:t xml:space="preserve">From Thompson’s comprehensive analysis of amendments, </w:t>
      </w:r>
      <w:r w:rsidR="00924535" w:rsidRPr="00FE5432">
        <w:t xml:space="preserve">this state of affairs shows in the quantitative </w:t>
      </w:r>
      <w:r w:rsidR="00D42161" w:rsidRPr="00FE5432">
        <w:t>data</w:t>
      </w:r>
      <w:r w:rsidR="00924535" w:rsidRPr="00FE5432">
        <w:t xml:space="preserve">. Whilst </w:t>
      </w:r>
      <w:r w:rsidR="00825801" w:rsidRPr="00FE5432">
        <w:t xml:space="preserve">around </w:t>
      </w:r>
      <w:r w:rsidR="00D42161" w:rsidRPr="00FE5432">
        <w:t>70</w:t>
      </w:r>
      <w:r w:rsidR="00825801" w:rsidRPr="00FE5432">
        <w:t xml:space="preserve"> percent of the considered amendments </w:t>
      </w:r>
      <w:r w:rsidR="007700E2" w:rsidRPr="00FE5432">
        <w:t xml:space="preserve">in committee </w:t>
      </w:r>
      <w:r w:rsidR="00825801" w:rsidRPr="00FE5432">
        <w:t>were non-government</w:t>
      </w:r>
      <w:r w:rsidR="00446596" w:rsidRPr="00FE5432">
        <w:t xml:space="preserve">, </w:t>
      </w:r>
      <w:r w:rsidR="00825801" w:rsidRPr="00FE5432">
        <w:t xml:space="preserve">only 88 </w:t>
      </w:r>
      <w:r w:rsidR="00AD1654" w:rsidRPr="00FE5432">
        <w:t xml:space="preserve">(that is </w:t>
      </w:r>
      <w:r w:rsidR="007700E2" w:rsidRPr="00FE5432">
        <w:t xml:space="preserve">0.5 </w:t>
      </w:r>
      <w:r w:rsidR="001778DE" w:rsidRPr="00FE5432">
        <w:t>percent</w:t>
      </w:r>
      <w:r w:rsidR="00AD1654" w:rsidRPr="00FE5432">
        <w:t xml:space="preserve">) </w:t>
      </w:r>
      <w:r w:rsidR="00825801" w:rsidRPr="00FE5432">
        <w:lastRenderedPageBreak/>
        <w:t xml:space="preserve">of </w:t>
      </w:r>
      <w:r w:rsidR="00446596" w:rsidRPr="00FE5432">
        <w:t>them</w:t>
      </w:r>
      <w:r w:rsidR="00825801" w:rsidRPr="00FE5432">
        <w:t xml:space="preserve"> were </w:t>
      </w:r>
      <w:r w:rsidR="0056456A" w:rsidRPr="00FE5432">
        <w:t>successful</w:t>
      </w:r>
      <w:r w:rsidR="00446596" w:rsidRPr="00FE5432">
        <w:t xml:space="preserve"> </w:t>
      </w:r>
      <w:r w:rsidR="00825801" w:rsidRPr="00FE5432">
        <w:t xml:space="preserve">(Thompson, 2013: </w:t>
      </w:r>
      <w:r w:rsidR="00446596" w:rsidRPr="00FE5432">
        <w:t>466</w:t>
      </w:r>
      <w:r w:rsidR="00C47507">
        <w:t>-</w:t>
      </w:r>
      <w:r w:rsidR="00825801" w:rsidRPr="00FE5432">
        <w:t xml:space="preserve">468). </w:t>
      </w:r>
      <w:r w:rsidR="00D114DF" w:rsidRPr="00FE5432">
        <w:t xml:space="preserve">Such evidence is compounded by the findings of </w:t>
      </w:r>
      <w:r w:rsidR="00AD1654" w:rsidRPr="00FE5432">
        <w:t xml:space="preserve">Russell </w:t>
      </w:r>
      <w:r w:rsidR="00AD1654" w:rsidRPr="00FE5432">
        <w:rPr>
          <w:i/>
          <w:iCs/>
        </w:rPr>
        <w:t>et al</w:t>
      </w:r>
      <w:r w:rsidR="00E767D3" w:rsidRPr="00FE5432">
        <w:rPr>
          <w:i/>
          <w:iCs/>
        </w:rPr>
        <w:t xml:space="preserve"> </w:t>
      </w:r>
      <w:r w:rsidR="00E767D3" w:rsidRPr="00FE5432">
        <w:t>in 2016</w:t>
      </w:r>
      <w:r w:rsidR="00AD1654" w:rsidRPr="00FE5432">
        <w:t xml:space="preserve">. Their study is also particularly instructive because it considered 4361 amendments to </w:t>
      </w:r>
      <w:r w:rsidR="001135D1">
        <w:t>12</w:t>
      </w:r>
      <w:r w:rsidR="00AD1654" w:rsidRPr="00FE5432">
        <w:t xml:space="preserve"> government bills, 64.5 percent of which were proposed at the committee stage (287). Whilst 94 percent of government amendments were successful, only 24 singular non-government amendments (fewer than 1 percent) were ultimately s</w:t>
      </w:r>
      <w:r w:rsidR="00D57C90" w:rsidRPr="00FE5432">
        <w:t>ecured</w:t>
      </w:r>
      <w:r w:rsidR="00AD1654" w:rsidRPr="00FE5432">
        <w:t xml:space="preserve"> (292). </w:t>
      </w:r>
      <w:r w:rsidR="00E767D3" w:rsidRPr="00FE5432">
        <w:t xml:space="preserve">Similar quantitative results were reported in Russell and </w:t>
      </w:r>
      <w:proofErr w:type="spellStart"/>
      <w:r w:rsidR="00E767D3" w:rsidRPr="00FE5432">
        <w:t>Gover’s</w:t>
      </w:r>
      <w:proofErr w:type="spellEnd"/>
      <w:r w:rsidR="00E767D3" w:rsidRPr="00FE5432">
        <w:t xml:space="preserve"> 2017 study, where 95 percent of government amendments in 12 UK bills from 2005 to 2012 were agreed (70; Dixon and Jones, 2019: 22)</w:t>
      </w:r>
      <w:r w:rsidR="00E75E85" w:rsidRPr="00FE5432">
        <w:t>.</w:t>
      </w:r>
      <w:r w:rsidR="00E767D3" w:rsidRPr="00FE5432">
        <w:t xml:space="preserve"> In </w:t>
      </w:r>
      <w:r w:rsidR="00BB55EE">
        <w:t>their</w:t>
      </w:r>
      <w:r w:rsidR="00A40CF3" w:rsidRPr="00FE5432">
        <w:t xml:space="preserve"> </w:t>
      </w:r>
      <w:r w:rsidR="00E767D3" w:rsidRPr="00FE5432">
        <w:t xml:space="preserve">statistics, </w:t>
      </w:r>
      <w:r w:rsidR="00BC7566">
        <w:t>around</w:t>
      </w:r>
      <w:r w:rsidR="00E767D3" w:rsidRPr="00FE5432">
        <w:t xml:space="preserve"> 3000 non-government amendments </w:t>
      </w:r>
      <w:r w:rsidR="00BC7566">
        <w:t xml:space="preserve">were </w:t>
      </w:r>
      <w:r w:rsidR="00E767D3" w:rsidRPr="00FE5432">
        <w:t>proposed per bill, but only 3.6</w:t>
      </w:r>
      <w:r w:rsidR="007700E2" w:rsidRPr="00FE5432">
        <w:t xml:space="preserve"> percent were</w:t>
      </w:r>
      <w:r w:rsidR="00E767D3" w:rsidRPr="00FE5432">
        <w:t xml:space="preserve"> </w:t>
      </w:r>
      <w:r w:rsidR="00F06224">
        <w:t>successful</w:t>
      </w:r>
      <w:r w:rsidR="00E767D3" w:rsidRPr="00FE5432">
        <w:t xml:space="preserve"> (70). </w:t>
      </w:r>
      <w:r w:rsidR="00242073" w:rsidRPr="00FE5432">
        <w:t xml:space="preserve">Overall, quantitative evidence suggests Westminster’s PBCs have minimal influence because ultimately the success rate of non-government bills is consistently below </w:t>
      </w:r>
      <w:r w:rsidR="007700E2" w:rsidRPr="00FE5432">
        <w:t xml:space="preserve">4 </w:t>
      </w:r>
      <w:r w:rsidR="00242073" w:rsidRPr="00FE5432">
        <w:t>percent.</w:t>
      </w:r>
    </w:p>
    <w:p w14:paraId="0EC87BAF" w14:textId="67A5D94D" w:rsidR="00F82289" w:rsidRPr="00FE5432" w:rsidRDefault="00F82289" w:rsidP="00FE5432">
      <w:pPr>
        <w:pStyle w:val="NormalWeb"/>
        <w:spacing w:line="480" w:lineRule="auto"/>
        <w:ind w:firstLine="720"/>
      </w:pPr>
      <w:r w:rsidRPr="00FE5432">
        <w:t xml:space="preserve">At Holyrood, Shephard and Cairney’s initial surveys reveal a similar picture to that found at Westminster. (2005: 310). For their </w:t>
      </w:r>
      <w:r w:rsidR="00E92115">
        <w:t>22</w:t>
      </w:r>
      <w:r w:rsidRPr="00FE5432">
        <w:t xml:space="preserve"> bills, over 99 percent of ministerial amendments were successful</w:t>
      </w:r>
      <w:r w:rsidR="00A874A0">
        <w:t xml:space="preserve"> (310).</w:t>
      </w:r>
      <w:r w:rsidRPr="00FE5432">
        <w:t xml:space="preserve"> Of the non-government amendments</w:t>
      </w:r>
      <w:r w:rsidR="00E27DC9" w:rsidRPr="00FE5432">
        <w:t>, only</w:t>
      </w:r>
      <w:r w:rsidRPr="00FE5432">
        <w:t xml:space="preserve"> 12 percent</w:t>
      </w:r>
      <w:r w:rsidR="00E27DC9" w:rsidRPr="00FE5432">
        <w:t xml:space="preserve"> </w:t>
      </w:r>
      <w:r w:rsidRPr="00FE5432">
        <w:t xml:space="preserve">were successful. </w:t>
      </w:r>
      <w:r w:rsidR="00F167BE" w:rsidRPr="00FE5432">
        <w:t>As such, in both the Scottish and UK contexts, committee influence is minimal in terms of successful amendments to government bills. However, the 12 percent figure</w:t>
      </w:r>
      <w:r w:rsidRPr="00FE5432">
        <w:t xml:space="preserve"> is considerably higher than the 1-5 percent found</w:t>
      </w:r>
      <w:r w:rsidR="00F167BE" w:rsidRPr="00FE5432">
        <w:t xml:space="preserve"> at</w:t>
      </w:r>
      <w:r w:rsidRPr="00FE5432">
        <w:t xml:space="preserve"> Westminster</w:t>
      </w:r>
      <w:r w:rsidR="00F167BE" w:rsidRPr="00FE5432">
        <w:t>—in most cases, it is three or four times higher than the Westminster numbers for successful non-government amendments</w:t>
      </w:r>
      <w:r w:rsidRPr="00FE5432">
        <w:t xml:space="preserve">. </w:t>
      </w:r>
      <w:r w:rsidR="00F167BE" w:rsidRPr="00FE5432">
        <w:t>A cautious conclusion results. Holyrood</w:t>
      </w:r>
      <w:r w:rsidR="00D91927">
        <w:t>’s</w:t>
      </w:r>
      <w:r w:rsidR="00F167BE" w:rsidRPr="00FE5432">
        <w:t xml:space="preserve"> committees (at least i</w:t>
      </w:r>
      <w:r w:rsidR="00D91927">
        <w:t>n</w:t>
      </w:r>
      <w:r w:rsidR="00F167BE" w:rsidRPr="00FE5432">
        <w:t xml:space="preserve"> its first session) appeared to have greater ability to amend government bills than Westminster committees. </w:t>
      </w:r>
      <w:r w:rsidRPr="00FE5432">
        <w:t xml:space="preserve">However, </w:t>
      </w:r>
      <w:r w:rsidR="00F167BE" w:rsidRPr="00FE5432">
        <w:t xml:space="preserve">both committee systems remain at the behest of an incredibly high success </w:t>
      </w:r>
      <w:r w:rsidRPr="00FE5432">
        <w:t>rate of government amendments</w:t>
      </w:r>
      <w:r w:rsidR="00F167BE" w:rsidRPr="00FE5432">
        <w:t>.</w:t>
      </w:r>
    </w:p>
    <w:p w14:paraId="78EE54C5" w14:textId="3FF3C98B" w:rsidR="0066239B" w:rsidRPr="00FE5432" w:rsidRDefault="00A8197C" w:rsidP="00FE5432">
      <w:pPr>
        <w:spacing w:line="480" w:lineRule="auto"/>
        <w:ind w:firstLine="720"/>
        <w:rPr>
          <w:rFonts w:ascii="Times New Roman" w:hAnsi="Times New Roman" w:cs="Times New Roman"/>
        </w:rPr>
      </w:pPr>
      <w:r w:rsidRPr="00FE5432">
        <w:rPr>
          <w:rFonts w:ascii="Times New Roman" w:hAnsi="Times New Roman" w:cs="Times New Roman"/>
        </w:rPr>
        <w:t xml:space="preserve">The </w:t>
      </w:r>
      <w:r w:rsidR="00233C58" w:rsidRPr="00FE5432">
        <w:rPr>
          <w:rFonts w:ascii="Times New Roman" w:hAnsi="Times New Roman" w:cs="Times New Roman"/>
        </w:rPr>
        <w:t>qualitative</w:t>
      </w:r>
      <w:r w:rsidRPr="00FE5432">
        <w:rPr>
          <w:rFonts w:ascii="Times New Roman" w:hAnsi="Times New Roman" w:cs="Times New Roman"/>
        </w:rPr>
        <w:t xml:space="preserve"> evidence reinforces </w:t>
      </w:r>
      <w:r w:rsidR="00233C58" w:rsidRPr="00FE5432">
        <w:rPr>
          <w:rFonts w:ascii="Times New Roman" w:hAnsi="Times New Roman" w:cs="Times New Roman"/>
        </w:rPr>
        <w:t xml:space="preserve">such </w:t>
      </w:r>
      <w:r w:rsidRPr="00FE5432">
        <w:rPr>
          <w:rFonts w:ascii="Times New Roman" w:hAnsi="Times New Roman" w:cs="Times New Roman"/>
        </w:rPr>
        <w:t>a co</w:t>
      </w:r>
      <w:r w:rsidR="00233C58" w:rsidRPr="00FE5432">
        <w:rPr>
          <w:rFonts w:ascii="Times New Roman" w:hAnsi="Times New Roman" w:cs="Times New Roman"/>
        </w:rPr>
        <w:t>n</w:t>
      </w:r>
      <w:r w:rsidRPr="00FE5432">
        <w:rPr>
          <w:rFonts w:ascii="Times New Roman" w:hAnsi="Times New Roman" w:cs="Times New Roman"/>
        </w:rPr>
        <w:t>clusion</w:t>
      </w:r>
      <w:r w:rsidR="00233C58" w:rsidRPr="00FE5432">
        <w:rPr>
          <w:rFonts w:ascii="Times New Roman" w:hAnsi="Times New Roman" w:cs="Times New Roman"/>
        </w:rPr>
        <w:t>.</w:t>
      </w:r>
      <w:r w:rsidRPr="00FE5432">
        <w:rPr>
          <w:rFonts w:ascii="Times New Roman" w:hAnsi="Times New Roman" w:cs="Times New Roman"/>
        </w:rPr>
        <w:t xml:space="preserve"> </w:t>
      </w:r>
      <w:r w:rsidR="00D87990" w:rsidRPr="00FE5432">
        <w:rPr>
          <w:rFonts w:ascii="Times New Roman" w:hAnsi="Times New Roman" w:cs="Times New Roman"/>
        </w:rPr>
        <w:t xml:space="preserve">A Commons’ Deputy Principal Clerk conceded that often committees </w:t>
      </w:r>
      <w:r w:rsidR="00233C58" w:rsidRPr="00FE5432">
        <w:rPr>
          <w:rFonts w:ascii="Times New Roman" w:hAnsi="Times New Roman" w:cs="Times New Roman"/>
        </w:rPr>
        <w:t>are</w:t>
      </w:r>
      <w:r w:rsidR="00D87990" w:rsidRPr="00FE5432">
        <w:rPr>
          <w:rFonts w:ascii="Times New Roman" w:hAnsi="Times New Roman" w:cs="Times New Roman"/>
        </w:rPr>
        <w:t xml:space="preserve"> a lot of ‘political theatre’ and a forum in which </w:t>
      </w:r>
      <w:r w:rsidR="00233C58" w:rsidRPr="00FE5432">
        <w:rPr>
          <w:rFonts w:ascii="Times New Roman" w:hAnsi="Times New Roman" w:cs="Times New Roman"/>
        </w:rPr>
        <w:lastRenderedPageBreak/>
        <w:t xml:space="preserve">government </w:t>
      </w:r>
      <w:r w:rsidR="00D87990" w:rsidRPr="00FE5432">
        <w:rPr>
          <w:rFonts w:ascii="Times New Roman" w:hAnsi="Times New Roman" w:cs="Times New Roman"/>
        </w:rPr>
        <w:t>whips can work</w:t>
      </w:r>
      <w:r w:rsidR="00233C58" w:rsidRPr="00FE5432">
        <w:rPr>
          <w:rFonts w:ascii="Times New Roman" w:hAnsi="Times New Roman" w:cs="Times New Roman"/>
        </w:rPr>
        <w:t xml:space="preserve"> (</w:t>
      </w:r>
      <w:r w:rsidR="003E74BE">
        <w:rPr>
          <w:rFonts w:ascii="Times New Roman" w:hAnsi="Times New Roman" w:cs="Times New Roman"/>
        </w:rPr>
        <w:t>Speaker (A), 2022</w:t>
      </w:r>
      <w:r w:rsidR="00233C58" w:rsidRPr="00FE5432">
        <w:rPr>
          <w:rFonts w:ascii="Times New Roman" w:hAnsi="Times New Roman" w:cs="Times New Roman"/>
        </w:rPr>
        <w:t>)</w:t>
      </w:r>
      <w:r w:rsidR="00D87990" w:rsidRPr="00FE5432">
        <w:rPr>
          <w:rFonts w:ascii="Times New Roman" w:hAnsi="Times New Roman" w:cs="Times New Roman"/>
        </w:rPr>
        <w:t>. Another Senior Clerk commented that PBCs being structured based on the composition of the House means the government will ‘always have an advantage’</w:t>
      </w:r>
      <w:r w:rsidR="003E74BE">
        <w:rPr>
          <w:rFonts w:ascii="Times New Roman" w:hAnsi="Times New Roman" w:cs="Times New Roman"/>
        </w:rPr>
        <w:t xml:space="preserve"> (Speaker (B), 2022)</w:t>
      </w:r>
      <w:r w:rsidR="00D87990" w:rsidRPr="00FE5432">
        <w:rPr>
          <w:rFonts w:ascii="Times New Roman" w:hAnsi="Times New Roman" w:cs="Times New Roman"/>
        </w:rPr>
        <w:t>.</w:t>
      </w:r>
      <w:r w:rsidR="00E22440" w:rsidRPr="00FE5432">
        <w:rPr>
          <w:rFonts w:ascii="Times New Roman" w:hAnsi="Times New Roman" w:cs="Times New Roman"/>
        </w:rPr>
        <w:t xml:space="preserve"> Similar</w:t>
      </w:r>
      <w:r w:rsidR="0080121B" w:rsidRPr="00FE5432">
        <w:rPr>
          <w:rFonts w:ascii="Times New Roman" w:hAnsi="Times New Roman" w:cs="Times New Roman"/>
        </w:rPr>
        <w:t xml:space="preserve">ly, a Holyrood clerk </w:t>
      </w:r>
      <w:r w:rsidR="009B361C" w:rsidRPr="00FE5432">
        <w:rPr>
          <w:rFonts w:ascii="Times New Roman" w:hAnsi="Times New Roman" w:cs="Times New Roman"/>
        </w:rPr>
        <w:t xml:space="preserve">in the </w:t>
      </w:r>
      <w:r w:rsidR="00E22440" w:rsidRPr="00FE5432">
        <w:rPr>
          <w:rFonts w:ascii="Times New Roman" w:hAnsi="Times New Roman" w:cs="Times New Roman"/>
        </w:rPr>
        <w:t>N</w:t>
      </w:r>
      <w:r w:rsidR="009B361C" w:rsidRPr="00FE5432">
        <w:rPr>
          <w:rFonts w:ascii="Times New Roman" w:hAnsi="Times New Roman" w:cs="Times New Roman"/>
        </w:rPr>
        <w:t>on-</w:t>
      </w:r>
      <w:r w:rsidR="00E22440" w:rsidRPr="00FE5432">
        <w:rPr>
          <w:rFonts w:ascii="Times New Roman" w:hAnsi="Times New Roman" w:cs="Times New Roman"/>
        </w:rPr>
        <w:t>G</w:t>
      </w:r>
      <w:r w:rsidR="009B361C" w:rsidRPr="00FE5432">
        <w:rPr>
          <w:rFonts w:ascii="Times New Roman" w:hAnsi="Times New Roman" w:cs="Times New Roman"/>
        </w:rPr>
        <w:t xml:space="preserve">overnment </w:t>
      </w:r>
      <w:r w:rsidR="00E22440" w:rsidRPr="00FE5432">
        <w:rPr>
          <w:rFonts w:ascii="Times New Roman" w:hAnsi="Times New Roman" w:cs="Times New Roman"/>
        </w:rPr>
        <w:t>B</w:t>
      </w:r>
      <w:r w:rsidR="009B361C" w:rsidRPr="00FE5432">
        <w:rPr>
          <w:rFonts w:ascii="Times New Roman" w:hAnsi="Times New Roman" w:cs="Times New Roman"/>
        </w:rPr>
        <w:t xml:space="preserve">ills </w:t>
      </w:r>
      <w:r w:rsidR="00E22440" w:rsidRPr="00FE5432">
        <w:rPr>
          <w:rFonts w:ascii="Times New Roman" w:hAnsi="Times New Roman" w:cs="Times New Roman"/>
        </w:rPr>
        <w:t>U</w:t>
      </w:r>
      <w:r w:rsidR="009B361C" w:rsidRPr="00FE5432">
        <w:rPr>
          <w:rFonts w:ascii="Times New Roman" w:hAnsi="Times New Roman" w:cs="Times New Roman"/>
        </w:rPr>
        <w:t xml:space="preserve">nit </w:t>
      </w:r>
      <w:r w:rsidR="00BD60FB" w:rsidRPr="00FE5432">
        <w:rPr>
          <w:rFonts w:ascii="Times New Roman" w:hAnsi="Times New Roman" w:cs="Times New Roman"/>
        </w:rPr>
        <w:t xml:space="preserve">(NGBU) </w:t>
      </w:r>
      <w:r w:rsidR="009B361C" w:rsidRPr="00FE5432">
        <w:rPr>
          <w:rFonts w:ascii="Times New Roman" w:hAnsi="Times New Roman" w:cs="Times New Roman"/>
        </w:rPr>
        <w:t xml:space="preserve">reported that government can dominate committee: marshalled </w:t>
      </w:r>
      <w:r w:rsidR="00E22440" w:rsidRPr="00FE5432">
        <w:rPr>
          <w:rFonts w:ascii="Times New Roman" w:hAnsi="Times New Roman" w:cs="Times New Roman"/>
        </w:rPr>
        <w:t xml:space="preserve">amendments </w:t>
      </w:r>
      <w:r w:rsidR="009B361C" w:rsidRPr="00FE5432">
        <w:rPr>
          <w:rFonts w:ascii="Times New Roman" w:hAnsi="Times New Roman" w:cs="Times New Roman"/>
        </w:rPr>
        <w:t>lists ‘can fillet it [a bill] quite a lot’</w:t>
      </w:r>
      <w:r w:rsidR="003E74BE">
        <w:rPr>
          <w:rFonts w:ascii="Times New Roman" w:hAnsi="Times New Roman" w:cs="Times New Roman"/>
        </w:rPr>
        <w:t xml:space="preserve"> (Speaker (C), 2022)</w:t>
      </w:r>
      <w:r w:rsidR="009B361C" w:rsidRPr="00FE5432">
        <w:rPr>
          <w:rFonts w:ascii="Times New Roman" w:hAnsi="Times New Roman" w:cs="Times New Roman"/>
        </w:rPr>
        <w:t xml:space="preserve">. </w:t>
      </w:r>
      <w:r w:rsidR="0066239B" w:rsidRPr="00FE5432">
        <w:rPr>
          <w:rFonts w:ascii="Times New Roman" w:hAnsi="Times New Roman" w:cs="Times New Roman"/>
        </w:rPr>
        <w:t xml:space="preserve">David </w:t>
      </w:r>
      <w:proofErr w:type="spellStart"/>
      <w:r w:rsidR="0066239B" w:rsidRPr="00FE5432">
        <w:rPr>
          <w:rFonts w:ascii="Times New Roman" w:hAnsi="Times New Roman" w:cs="Times New Roman"/>
        </w:rPr>
        <w:t>Lidington</w:t>
      </w:r>
      <w:proofErr w:type="spellEnd"/>
      <w:r w:rsidR="00B32647">
        <w:rPr>
          <w:rFonts w:ascii="Times New Roman" w:hAnsi="Times New Roman" w:cs="Times New Roman"/>
        </w:rPr>
        <w:t xml:space="preserve"> </w:t>
      </w:r>
      <w:r w:rsidR="0066239B" w:rsidRPr="00FE5432">
        <w:rPr>
          <w:rFonts w:ascii="Times New Roman" w:hAnsi="Times New Roman" w:cs="Times New Roman"/>
        </w:rPr>
        <w:t>reported that PBCs are often ‘just a completely formal process’ and ‘in effect, rubber stamping stuff’ (</w:t>
      </w:r>
      <w:proofErr w:type="spellStart"/>
      <w:r w:rsidR="003E74BE">
        <w:rPr>
          <w:rFonts w:ascii="Times New Roman" w:hAnsi="Times New Roman" w:cs="Times New Roman"/>
        </w:rPr>
        <w:t>Lidington</w:t>
      </w:r>
      <w:proofErr w:type="spellEnd"/>
      <w:r w:rsidR="003E74BE">
        <w:rPr>
          <w:rFonts w:ascii="Times New Roman" w:hAnsi="Times New Roman" w:cs="Times New Roman"/>
        </w:rPr>
        <w:t xml:space="preserve">, 2022: </w:t>
      </w:r>
      <w:r w:rsidR="0066239B" w:rsidRPr="00FE5432">
        <w:rPr>
          <w:rFonts w:ascii="Times New Roman" w:hAnsi="Times New Roman" w:cs="Times New Roman"/>
        </w:rPr>
        <w:t xml:space="preserve">11:53). Such a view is echoed by </w:t>
      </w:r>
      <w:r w:rsidR="006933D0">
        <w:rPr>
          <w:rFonts w:ascii="Times New Roman" w:hAnsi="Times New Roman" w:cs="Times New Roman"/>
        </w:rPr>
        <w:t xml:space="preserve">Holyrood’s </w:t>
      </w:r>
      <w:r w:rsidR="0066239B" w:rsidRPr="00FE5432">
        <w:rPr>
          <w:rFonts w:ascii="Times New Roman" w:hAnsi="Times New Roman" w:cs="Times New Roman"/>
        </w:rPr>
        <w:t>Anas Sarwar: ‘everything is stitched up and decided’ before anything comes before committees</w:t>
      </w:r>
      <w:r w:rsidR="005C5C26">
        <w:rPr>
          <w:rFonts w:ascii="Times New Roman" w:hAnsi="Times New Roman" w:cs="Times New Roman"/>
        </w:rPr>
        <w:t xml:space="preserve">; </w:t>
      </w:r>
      <w:r w:rsidR="0066239B" w:rsidRPr="00FE5432">
        <w:rPr>
          <w:rFonts w:ascii="Times New Roman" w:hAnsi="Times New Roman" w:cs="Times New Roman"/>
        </w:rPr>
        <w:t>‘our committees in the Scottish Parliament</w:t>
      </w:r>
      <w:r w:rsidR="005C5C26">
        <w:rPr>
          <w:rFonts w:ascii="Times New Roman" w:hAnsi="Times New Roman" w:cs="Times New Roman"/>
        </w:rPr>
        <w:t>…</w:t>
      </w:r>
      <w:r w:rsidR="0066239B" w:rsidRPr="00FE5432">
        <w:rPr>
          <w:rFonts w:ascii="Times New Roman" w:hAnsi="Times New Roman" w:cs="Times New Roman"/>
        </w:rPr>
        <w:t>work in a whip system’ (</w:t>
      </w:r>
      <w:r w:rsidR="00940AD7">
        <w:rPr>
          <w:rFonts w:ascii="Times New Roman" w:hAnsi="Times New Roman" w:cs="Times New Roman"/>
        </w:rPr>
        <w:t xml:space="preserve">Sarwar, 2022: </w:t>
      </w:r>
      <w:r w:rsidR="0066239B" w:rsidRPr="00FE5432">
        <w:rPr>
          <w:rFonts w:ascii="Times New Roman" w:hAnsi="Times New Roman" w:cs="Times New Roman"/>
        </w:rPr>
        <w:t xml:space="preserve">38:23; 39:48). This qualitative evidence supports the conclusion that in terms of material change, the government clearly remains the central player in both committee systems (whilst the quantitative evidence shows non-government actors are perhaps more successful </w:t>
      </w:r>
      <w:r w:rsidR="00F41EAB">
        <w:rPr>
          <w:rFonts w:ascii="Times New Roman" w:hAnsi="Times New Roman" w:cs="Times New Roman"/>
        </w:rPr>
        <w:t>at</w:t>
      </w:r>
      <w:r w:rsidR="0066239B" w:rsidRPr="00FE5432">
        <w:rPr>
          <w:rFonts w:ascii="Times New Roman" w:hAnsi="Times New Roman" w:cs="Times New Roman"/>
        </w:rPr>
        <w:t xml:space="preserve"> </w:t>
      </w:r>
      <w:r w:rsidR="00F41EAB">
        <w:rPr>
          <w:rFonts w:ascii="Times New Roman" w:hAnsi="Times New Roman" w:cs="Times New Roman"/>
        </w:rPr>
        <w:t>Holyrood</w:t>
      </w:r>
      <w:r w:rsidR="0066239B" w:rsidRPr="00FE5432">
        <w:rPr>
          <w:rFonts w:ascii="Times New Roman" w:hAnsi="Times New Roman" w:cs="Times New Roman"/>
        </w:rPr>
        <w:t>).</w:t>
      </w:r>
    </w:p>
    <w:p w14:paraId="3E0FA8DF" w14:textId="1E2E313C" w:rsidR="00860CEC" w:rsidRPr="00FE5432" w:rsidRDefault="00654800" w:rsidP="00FE5432">
      <w:pPr>
        <w:pStyle w:val="NormalWeb"/>
        <w:spacing w:line="480" w:lineRule="auto"/>
        <w:ind w:firstLine="720"/>
      </w:pPr>
      <w:r w:rsidRPr="00FE5432">
        <w:t xml:space="preserve">However, </w:t>
      </w:r>
      <w:r w:rsidR="002B4995" w:rsidRPr="00FE5432">
        <w:t xml:space="preserve">quantitative </w:t>
      </w:r>
      <w:r w:rsidR="00C74D4E" w:rsidRPr="00FE5432">
        <w:t xml:space="preserve">data </w:t>
      </w:r>
      <w:r w:rsidR="008E7F55">
        <w:t>speaks</w:t>
      </w:r>
      <w:r w:rsidR="00C74D4E" w:rsidRPr="00FE5432">
        <w:t xml:space="preserve"> nothing of the ‘substantiveness’ of successful amendments. Russell </w:t>
      </w:r>
      <w:r w:rsidR="00C74D4E" w:rsidRPr="00FE5432">
        <w:rPr>
          <w:i/>
          <w:iCs/>
        </w:rPr>
        <w:t>et al</w:t>
      </w:r>
      <w:r w:rsidR="00C74D4E" w:rsidRPr="00FE5432">
        <w:t xml:space="preserve"> importantly only conceded</w:t>
      </w:r>
      <w:r w:rsidR="007700E2" w:rsidRPr="00FE5432">
        <w:t xml:space="preserve"> </w:t>
      </w:r>
      <w:r w:rsidR="00C74D4E" w:rsidRPr="00FE5432">
        <w:t xml:space="preserve">‘the appearance’ of government dominance (2016: 292). </w:t>
      </w:r>
      <w:r w:rsidR="006C61A6" w:rsidRPr="00FE5432">
        <w:t>In fact,</w:t>
      </w:r>
      <w:r w:rsidR="00C74D4E" w:rsidRPr="00FE5432">
        <w:t xml:space="preserve"> executive</w:t>
      </w:r>
      <w:r w:rsidR="003B3808" w:rsidRPr="00FE5432">
        <w:t xml:space="preserve"> amendments </w:t>
      </w:r>
      <w:r w:rsidR="00C74D4E" w:rsidRPr="00FE5432">
        <w:t>at</w:t>
      </w:r>
      <w:r w:rsidR="003B3808" w:rsidRPr="00FE5432">
        <w:t xml:space="preserve"> </w:t>
      </w:r>
      <w:r w:rsidR="005B5E51" w:rsidRPr="00FE5432">
        <w:t xml:space="preserve">UK </w:t>
      </w:r>
      <w:r w:rsidR="003B3808" w:rsidRPr="00FE5432">
        <w:t xml:space="preserve">committee stage are often of little substance. </w:t>
      </w:r>
      <w:r w:rsidR="003139D9" w:rsidRPr="00FE5432">
        <w:t>Operationalising</w:t>
      </w:r>
      <w:r w:rsidR="003B3808" w:rsidRPr="00FE5432">
        <w:t xml:space="preserve"> Shephard and Cairney’s scale, </w:t>
      </w:r>
      <w:r w:rsidR="003139D9" w:rsidRPr="00FE5432">
        <w:t xml:space="preserve">on average, </w:t>
      </w:r>
      <w:r w:rsidR="003B3808" w:rsidRPr="00FE5432">
        <w:t xml:space="preserve">less than 33 percent of government amendments </w:t>
      </w:r>
      <w:r w:rsidR="00CD3B1B">
        <w:t>are</w:t>
      </w:r>
      <w:r w:rsidR="00997F42" w:rsidRPr="00FE5432">
        <w:t xml:space="preserve"> </w:t>
      </w:r>
      <w:r w:rsidR="003B3808" w:rsidRPr="00FE5432">
        <w:t>‘substantive’</w:t>
      </w:r>
      <w:r w:rsidR="003139D9" w:rsidRPr="00FE5432">
        <w:t xml:space="preserve"> </w:t>
      </w:r>
      <w:r w:rsidR="003B3808" w:rsidRPr="00FE5432">
        <w:t xml:space="preserve">(2005; Russell </w:t>
      </w:r>
      <w:r w:rsidR="003B3808" w:rsidRPr="0056719D">
        <w:rPr>
          <w:i/>
          <w:iCs/>
        </w:rPr>
        <w:t>et al</w:t>
      </w:r>
      <w:r w:rsidR="003B3808" w:rsidRPr="00FE5432">
        <w:t>, 2016: 294).</w:t>
      </w:r>
      <w:r w:rsidR="008B6C3D" w:rsidRPr="00FE5432">
        <w:t xml:space="preserve"> </w:t>
      </w:r>
      <w:r w:rsidR="005B5E51" w:rsidRPr="00FE5432">
        <w:t>In Scotland</w:t>
      </w:r>
      <w:r w:rsidR="008B6C3D" w:rsidRPr="00FE5432">
        <w:t xml:space="preserve">, </w:t>
      </w:r>
      <w:r w:rsidR="005B5E51" w:rsidRPr="00FE5432">
        <w:t>just</w:t>
      </w:r>
      <w:r w:rsidR="008B6C3D" w:rsidRPr="00FE5432">
        <w:t xml:space="preserve"> 4</w:t>
      </w:r>
      <w:r w:rsidR="005B5E51" w:rsidRPr="00FE5432">
        <w:t xml:space="preserve"> percent</w:t>
      </w:r>
      <w:r w:rsidR="008B6C3D" w:rsidRPr="00FE5432">
        <w:t xml:space="preserve"> of successful ministerial amendments </w:t>
      </w:r>
      <w:r w:rsidR="008F4022">
        <w:t xml:space="preserve">are </w:t>
      </w:r>
      <w:r w:rsidR="00DD5008">
        <w:t xml:space="preserve">such </w:t>
      </w:r>
      <w:r w:rsidR="008B6C3D" w:rsidRPr="00FE5432">
        <w:t xml:space="preserve">(Shephard and Cairney, 2005: 312; Cairney, 2006: 186). </w:t>
      </w:r>
      <w:r w:rsidR="00DD5008">
        <w:t>G</w:t>
      </w:r>
      <w:r w:rsidR="00585478" w:rsidRPr="00FE5432">
        <w:t xml:space="preserve">overnments in both contexts are </w:t>
      </w:r>
      <w:r w:rsidR="008D782B" w:rsidRPr="00FE5432">
        <w:t xml:space="preserve">thus </w:t>
      </w:r>
      <w:r w:rsidR="00585478" w:rsidRPr="00FE5432">
        <w:t>far more likely to pass typographical</w:t>
      </w:r>
      <w:r w:rsidR="00DD5008">
        <w:t>/</w:t>
      </w:r>
      <w:r w:rsidR="00585478" w:rsidRPr="00FE5432">
        <w:t>clarificatory amendment</w:t>
      </w:r>
      <w:r w:rsidR="00EB5A10" w:rsidRPr="00FE5432">
        <w:t>s</w:t>
      </w:r>
      <w:r w:rsidR="00585478" w:rsidRPr="00FE5432">
        <w:t xml:space="preserve"> than </w:t>
      </w:r>
      <w:r w:rsidR="00EB5A10" w:rsidRPr="00FE5432">
        <w:t>those</w:t>
      </w:r>
      <w:r w:rsidR="00585478" w:rsidRPr="00FE5432">
        <w:t xml:space="preserve"> which materially change </w:t>
      </w:r>
      <w:r w:rsidR="00DD5008">
        <w:t>bills</w:t>
      </w:r>
      <w:r w:rsidR="00585478" w:rsidRPr="00FE5432">
        <w:t xml:space="preserve">. Again, the evidence suggests that the Scottish committee system is more </w:t>
      </w:r>
      <w:r w:rsidR="008666D9" w:rsidRPr="00FE5432">
        <w:t>influential</w:t>
      </w:r>
      <w:r w:rsidR="00585478" w:rsidRPr="00FE5432">
        <w:t xml:space="preserve"> in that </w:t>
      </w:r>
      <w:r w:rsidR="003B7950">
        <w:t xml:space="preserve">very </w:t>
      </w:r>
      <w:r w:rsidR="00585478" w:rsidRPr="00FE5432">
        <w:t>few government amendments are actually of notable meaning. Furthermore,</w:t>
      </w:r>
      <w:r w:rsidR="007A5009" w:rsidRPr="00FE5432">
        <w:t xml:space="preserve"> </w:t>
      </w:r>
      <w:r w:rsidR="003D2F14">
        <w:t>at Holyrood</w:t>
      </w:r>
      <w:r w:rsidR="00585478" w:rsidRPr="00FE5432">
        <w:t xml:space="preserve">, 96.8 percent of these government amendments succeeded ‘with no formal objection’ in committee or parliament (Cairney, 2006: 186). To present such amendments </w:t>
      </w:r>
      <w:r w:rsidR="007A5009" w:rsidRPr="00FE5432">
        <w:t xml:space="preserve">as </w:t>
      </w:r>
      <w:r w:rsidR="00585478" w:rsidRPr="00FE5432">
        <w:lastRenderedPageBreak/>
        <w:t>evidence of executive dominance is</w:t>
      </w:r>
      <w:r w:rsidR="00597774">
        <w:t xml:space="preserve"> </w:t>
      </w:r>
      <w:r w:rsidR="000A6510">
        <w:t>misleading</w:t>
      </w:r>
      <w:r w:rsidR="00585478" w:rsidRPr="00FE5432">
        <w:t>—if the committee has no quarrel with the amendment, it exert</w:t>
      </w:r>
      <w:r w:rsidR="00327725" w:rsidRPr="00FE5432">
        <w:t>s</w:t>
      </w:r>
      <w:r w:rsidR="00585478" w:rsidRPr="00FE5432">
        <w:t xml:space="preserve"> its influence in facilitating its passage. </w:t>
      </w:r>
      <w:r w:rsidR="00327725" w:rsidRPr="00FE5432">
        <w:t>This</w:t>
      </w:r>
      <w:r w:rsidR="00585478" w:rsidRPr="00FE5432">
        <w:t xml:space="preserve"> ‘consensus politics’ </w:t>
      </w:r>
      <w:r w:rsidR="00327725" w:rsidRPr="00FE5432">
        <w:t>in Holyrood</w:t>
      </w:r>
      <w:r w:rsidR="00587D17" w:rsidRPr="00FE5432">
        <w:t xml:space="preserve"> support</w:t>
      </w:r>
      <w:r w:rsidR="00327725" w:rsidRPr="00FE5432">
        <w:t>s</w:t>
      </w:r>
      <w:r w:rsidR="00587D17" w:rsidRPr="00FE5432">
        <w:t xml:space="preserve"> the conclusion that Scottish committees </w:t>
      </w:r>
      <w:r w:rsidR="009C77A5" w:rsidRPr="00FE5432">
        <w:t>are</w:t>
      </w:r>
      <w:r w:rsidR="00587D17" w:rsidRPr="00FE5432">
        <w:t>, however marginally, more able to influence bills.</w:t>
      </w:r>
    </w:p>
    <w:p w14:paraId="77EEB551" w14:textId="2B6D73DF" w:rsidR="00860CEC" w:rsidRPr="00FE5432" w:rsidRDefault="00860CEC" w:rsidP="00FE5432">
      <w:pPr>
        <w:spacing w:line="480" w:lineRule="auto"/>
        <w:ind w:firstLine="720"/>
        <w:rPr>
          <w:rFonts w:ascii="Times New Roman" w:hAnsi="Times New Roman" w:cs="Times New Roman"/>
        </w:rPr>
      </w:pPr>
      <w:r w:rsidRPr="00FE5432">
        <w:rPr>
          <w:rFonts w:ascii="Times New Roman" w:hAnsi="Times New Roman" w:cs="Times New Roman"/>
        </w:rPr>
        <w:t xml:space="preserve">Overall, crude </w:t>
      </w:r>
      <w:r w:rsidR="006F1C1C" w:rsidRPr="00FE5432">
        <w:rPr>
          <w:rFonts w:ascii="Times New Roman" w:hAnsi="Times New Roman" w:cs="Times New Roman"/>
        </w:rPr>
        <w:t>numerical comparisons</w:t>
      </w:r>
      <w:r w:rsidR="00AE1945" w:rsidRPr="00FE5432">
        <w:rPr>
          <w:rFonts w:ascii="Times New Roman" w:hAnsi="Times New Roman" w:cs="Times New Roman"/>
        </w:rPr>
        <w:t>—</w:t>
      </w:r>
      <w:r w:rsidR="00CC7491" w:rsidRPr="00FE5432">
        <w:rPr>
          <w:rFonts w:ascii="Times New Roman" w:hAnsi="Times New Roman" w:cs="Times New Roman"/>
        </w:rPr>
        <w:t>even controlling for substantiveness</w:t>
      </w:r>
      <w:r w:rsidR="00AE1945" w:rsidRPr="00FE5432">
        <w:rPr>
          <w:rFonts w:ascii="Times New Roman" w:hAnsi="Times New Roman" w:cs="Times New Roman"/>
        </w:rPr>
        <w:t>—</w:t>
      </w:r>
      <w:r w:rsidRPr="00FE5432">
        <w:rPr>
          <w:rFonts w:ascii="Times New Roman" w:hAnsi="Times New Roman" w:cs="Times New Roman"/>
        </w:rPr>
        <w:t xml:space="preserve"> suggest </w:t>
      </w:r>
      <w:r w:rsidR="00AE1945" w:rsidRPr="00FE5432">
        <w:rPr>
          <w:rFonts w:ascii="Times New Roman" w:hAnsi="Times New Roman" w:cs="Times New Roman"/>
        </w:rPr>
        <w:t xml:space="preserve">neither committee system </w:t>
      </w:r>
      <w:r w:rsidR="00D025B4" w:rsidRPr="00FE5432">
        <w:rPr>
          <w:rFonts w:ascii="Times New Roman" w:hAnsi="Times New Roman" w:cs="Times New Roman"/>
        </w:rPr>
        <w:t>possesses</w:t>
      </w:r>
      <w:r w:rsidR="00AE1945" w:rsidRPr="00FE5432">
        <w:rPr>
          <w:rFonts w:ascii="Times New Roman" w:hAnsi="Times New Roman" w:cs="Times New Roman"/>
        </w:rPr>
        <w:t xml:space="preserve"> considerable powers to </w:t>
      </w:r>
      <w:r w:rsidR="00BC2FA8" w:rsidRPr="00FE5432">
        <w:rPr>
          <w:rFonts w:ascii="Times New Roman" w:hAnsi="Times New Roman" w:cs="Times New Roman"/>
        </w:rPr>
        <w:t>directly</w:t>
      </w:r>
      <w:r w:rsidR="005D0D5F" w:rsidRPr="00FE5432">
        <w:rPr>
          <w:rFonts w:ascii="Times New Roman" w:hAnsi="Times New Roman" w:cs="Times New Roman"/>
        </w:rPr>
        <w:t xml:space="preserve"> </w:t>
      </w:r>
      <w:r w:rsidR="005D0D5F" w:rsidRPr="00FE5432">
        <w:rPr>
          <w:rFonts w:ascii="Times New Roman" w:hAnsi="Times New Roman" w:cs="Times New Roman"/>
          <w:i/>
          <w:iCs/>
        </w:rPr>
        <w:t>materially</w:t>
      </w:r>
      <w:r w:rsidR="00AE1945" w:rsidRPr="00FE5432">
        <w:rPr>
          <w:rFonts w:ascii="Times New Roman" w:hAnsi="Times New Roman" w:cs="Times New Roman"/>
        </w:rPr>
        <w:t xml:space="preserve"> influence bills</w:t>
      </w:r>
      <w:r w:rsidR="005D0D5F" w:rsidRPr="00FE5432">
        <w:rPr>
          <w:rFonts w:ascii="Times New Roman" w:hAnsi="Times New Roman" w:cs="Times New Roman"/>
        </w:rPr>
        <w:t>.</w:t>
      </w:r>
      <w:r w:rsidR="00AE1945" w:rsidRPr="00FE5432">
        <w:rPr>
          <w:rFonts w:ascii="Times New Roman" w:hAnsi="Times New Roman" w:cs="Times New Roman"/>
        </w:rPr>
        <w:t xml:space="preserve"> </w:t>
      </w:r>
      <w:r w:rsidR="00BC2FA8" w:rsidRPr="00FE5432">
        <w:rPr>
          <w:rFonts w:ascii="Times New Roman" w:hAnsi="Times New Roman" w:cs="Times New Roman"/>
        </w:rPr>
        <w:t xml:space="preserve">Whilst </w:t>
      </w:r>
      <w:r w:rsidR="00133D97" w:rsidRPr="00FE5432">
        <w:rPr>
          <w:rFonts w:ascii="Times New Roman" w:hAnsi="Times New Roman" w:cs="Times New Roman"/>
        </w:rPr>
        <w:t xml:space="preserve">Holyrood’s </w:t>
      </w:r>
      <w:r w:rsidRPr="00FE5432">
        <w:rPr>
          <w:rFonts w:ascii="Times New Roman" w:hAnsi="Times New Roman" w:cs="Times New Roman"/>
        </w:rPr>
        <w:t xml:space="preserve">committees have </w:t>
      </w:r>
      <w:r w:rsidR="00BC2FA8" w:rsidRPr="00FE5432">
        <w:rPr>
          <w:rFonts w:ascii="Times New Roman" w:hAnsi="Times New Roman" w:cs="Times New Roman"/>
        </w:rPr>
        <w:t xml:space="preserve">slightly </w:t>
      </w:r>
      <w:r w:rsidRPr="00FE5432">
        <w:rPr>
          <w:rFonts w:ascii="Times New Roman" w:hAnsi="Times New Roman" w:cs="Times New Roman"/>
        </w:rPr>
        <w:t xml:space="preserve">more power </w:t>
      </w:r>
      <w:r w:rsidR="00BC2FA8" w:rsidRPr="00FE5432">
        <w:rPr>
          <w:rFonts w:ascii="Times New Roman" w:hAnsi="Times New Roman" w:cs="Times New Roman"/>
        </w:rPr>
        <w:t>(more non-government amendments and less substantive government amendments are successful)</w:t>
      </w:r>
      <w:r w:rsidRPr="00FE5432">
        <w:rPr>
          <w:rFonts w:ascii="Times New Roman" w:hAnsi="Times New Roman" w:cs="Times New Roman"/>
        </w:rPr>
        <w:t xml:space="preserve">, </w:t>
      </w:r>
      <w:r w:rsidR="00BC2FA8" w:rsidRPr="00FE5432">
        <w:rPr>
          <w:rFonts w:ascii="Times New Roman" w:hAnsi="Times New Roman" w:cs="Times New Roman"/>
        </w:rPr>
        <w:t>it is</w:t>
      </w:r>
      <w:r w:rsidRPr="00FE5432">
        <w:rPr>
          <w:rFonts w:ascii="Times New Roman" w:hAnsi="Times New Roman" w:cs="Times New Roman"/>
        </w:rPr>
        <w:t xml:space="preserve"> not enough to </w:t>
      </w:r>
      <w:r w:rsidR="00BC2FA8" w:rsidRPr="00FE5432">
        <w:rPr>
          <w:rFonts w:ascii="Times New Roman" w:hAnsi="Times New Roman" w:cs="Times New Roman"/>
        </w:rPr>
        <w:t>declare</w:t>
      </w:r>
      <w:r w:rsidRPr="00FE5432">
        <w:rPr>
          <w:rFonts w:ascii="Times New Roman" w:hAnsi="Times New Roman" w:cs="Times New Roman"/>
        </w:rPr>
        <w:t xml:space="preserve"> </w:t>
      </w:r>
      <w:r w:rsidR="00F23E43" w:rsidRPr="00FE5432">
        <w:rPr>
          <w:rFonts w:ascii="Times New Roman" w:hAnsi="Times New Roman" w:cs="Times New Roman"/>
        </w:rPr>
        <w:t xml:space="preserve">some </w:t>
      </w:r>
      <w:r w:rsidRPr="00FE5432">
        <w:rPr>
          <w:rFonts w:ascii="Times New Roman" w:hAnsi="Times New Roman" w:cs="Times New Roman"/>
        </w:rPr>
        <w:t>‘new politics’.</w:t>
      </w:r>
    </w:p>
    <w:p w14:paraId="73CF3BFF" w14:textId="77777777" w:rsidR="0045323D" w:rsidRPr="00FE5432" w:rsidRDefault="0045323D" w:rsidP="00FE5432">
      <w:pPr>
        <w:spacing w:line="480" w:lineRule="auto"/>
        <w:rPr>
          <w:rFonts w:ascii="Times New Roman" w:hAnsi="Times New Roman" w:cs="Times New Roman"/>
          <w:i/>
          <w:iCs/>
        </w:rPr>
      </w:pPr>
    </w:p>
    <w:p w14:paraId="785730E4" w14:textId="2FEB5B58" w:rsidR="00F33FCC" w:rsidRPr="00FE5432" w:rsidRDefault="002B4CC7" w:rsidP="00FE5432">
      <w:pPr>
        <w:spacing w:line="480" w:lineRule="auto"/>
        <w:rPr>
          <w:rFonts w:ascii="Times New Roman" w:hAnsi="Times New Roman" w:cs="Times New Roman"/>
          <w:b/>
          <w:bCs/>
        </w:rPr>
      </w:pPr>
      <w:r w:rsidRPr="00FE5432">
        <w:rPr>
          <w:rFonts w:ascii="Times New Roman" w:hAnsi="Times New Roman" w:cs="Times New Roman"/>
          <w:b/>
          <w:bCs/>
        </w:rPr>
        <w:t>Comparative analysis of amendments: c</w:t>
      </w:r>
      <w:r w:rsidR="00F33FCC" w:rsidRPr="00FE5432">
        <w:rPr>
          <w:rFonts w:ascii="Times New Roman" w:hAnsi="Times New Roman" w:cs="Times New Roman"/>
          <w:b/>
          <w:bCs/>
        </w:rPr>
        <w:t>ase studie</w:t>
      </w:r>
      <w:r w:rsidRPr="00FE5432">
        <w:rPr>
          <w:rFonts w:ascii="Times New Roman" w:hAnsi="Times New Roman" w:cs="Times New Roman"/>
          <w:b/>
          <w:bCs/>
        </w:rPr>
        <w:t>s</w:t>
      </w:r>
    </w:p>
    <w:p w14:paraId="3407008D" w14:textId="22D765E4" w:rsidR="00363A70" w:rsidRPr="00FE5432" w:rsidRDefault="00363A70" w:rsidP="00FE5432">
      <w:pPr>
        <w:spacing w:line="480" w:lineRule="auto"/>
        <w:rPr>
          <w:rFonts w:ascii="Times New Roman" w:hAnsi="Times New Roman" w:cs="Times New Roman"/>
          <w:i/>
          <w:iCs/>
        </w:rPr>
      </w:pPr>
    </w:p>
    <w:p w14:paraId="203EFAAD" w14:textId="3C2183BB" w:rsidR="006936E3" w:rsidRDefault="008820F6" w:rsidP="00FE5432">
      <w:pPr>
        <w:spacing w:line="480" w:lineRule="auto"/>
        <w:ind w:firstLine="360"/>
        <w:rPr>
          <w:rFonts w:ascii="Times New Roman" w:hAnsi="Times New Roman" w:cs="Times New Roman"/>
        </w:rPr>
      </w:pPr>
      <w:r w:rsidRPr="00FE5432">
        <w:rPr>
          <w:rFonts w:ascii="Times New Roman" w:hAnsi="Times New Roman" w:cs="Times New Roman"/>
        </w:rPr>
        <w:t>Cursory</w:t>
      </w:r>
      <w:r w:rsidR="006936E3" w:rsidRPr="00FE5432">
        <w:rPr>
          <w:rFonts w:ascii="Times New Roman" w:hAnsi="Times New Roman" w:cs="Times New Roman"/>
        </w:rPr>
        <w:t xml:space="preserve"> quantitative examination of </w:t>
      </w:r>
      <w:r w:rsidR="00BB292B" w:rsidRPr="00FE5432">
        <w:rPr>
          <w:rFonts w:ascii="Times New Roman" w:hAnsi="Times New Roman" w:cs="Times New Roman"/>
        </w:rPr>
        <w:t>amendments</w:t>
      </w:r>
      <w:r w:rsidR="006936E3" w:rsidRPr="00FE5432">
        <w:rPr>
          <w:rFonts w:ascii="Times New Roman" w:hAnsi="Times New Roman" w:cs="Times New Roman"/>
        </w:rPr>
        <w:t xml:space="preserve"> </w:t>
      </w:r>
      <w:r w:rsidR="008907BF" w:rsidRPr="00FE5432">
        <w:rPr>
          <w:rFonts w:ascii="Times New Roman" w:hAnsi="Times New Roman" w:cs="Times New Roman"/>
        </w:rPr>
        <w:t xml:space="preserve">within the case studies </w:t>
      </w:r>
      <w:r w:rsidR="00DC24A4" w:rsidRPr="00FE5432">
        <w:rPr>
          <w:rFonts w:ascii="Times New Roman" w:hAnsi="Times New Roman" w:cs="Times New Roman"/>
        </w:rPr>
        <w:t xml:space="preserve">reflect the </w:t>
      </w:r>
      <w:r w:rsidR="006936E3" w:rsidRPr="00FE5432">
        <w:rPr>
          <w:rFonts w:ascii="Times New Roman" w:hAnsi="Times New Roman" w:cs="Times New Roman"/>
        </w:rPr>
        <w:t>conclusion</w:t>
      </w:r>
      <w:r w:rsidR="004B0B1E" w:rsidRPr="00FE5432">
        <w:rPr>
          <w:rFonts w:ascii="Times New Roman" w:hAnsi="Times New Roman" w:cs="Times New Roman"/>
        </w:rPr>
        <w:t xml:space="preserve"> </w:t>
      </w:r>
      <w:r w:rsidR="006936E3" w:rsidRPr="00FE5432">
        <w:rPr>
          <w:rFonts w:ascii="Times New Roman" w:hAnsi="Times New Roman" w:cs="Times New Roman"/>
        </w:rPr>
        <w:t xml:space="preserve">that </w:t>
      </w:r>
      <w:r w:rsidR="002D4049" w:rsidRPr="00FE5432">
        <w:rPr>
          <w:rFonts w:ascii="Times New Roman" w:hAnsi="Times New Roman" w:cs="Times New Roman"/>
        </w:rPr>
        <w:t>committees’ material</w:t>
      </w:r>
      <w:r w:rsidR="006936E3" w:rsidRPr="00FE5432">
        <w:rPr>
          <w:rFonts w:ascii="Times New Roman" w:hAnsi="Times New Roman" w:cs="Times New Roman"/>
        </w:rPr>
        <w:t xml:space="preserve"> influence is limited</w:t>
      </w:r>
      <w:r w:rsidR="002D4049" w:rsidRPr="00FE5432">
        <w:rPr>
          <w:rFonts w:ascii="Times New Roman" w:hAnsi="Times New Roman" w:cs="Times New Roman"/>
        </w:rPr>
        <w:t xml:space="preserve"> in both Parliaments (</w:t>
      </w:r>
      <w:r w:rsidR="00BB292B" w:rsidRPr="00FE5432">
        <w:rPr>
          <w:rFonts w:ascii="Times New Roman" w:hAnsi="Times New Roman" w:cs="Times New Roman"/>
        </w:rPr>
        <w:t xml:space="preserve">whilst perhaps </w:t>
      </w:r>
      <w:r w:rsidR="002D4049" w:rsidRPr="00FE5432">
        <w:rPr>
          <w:rFonts w:ascii="Times New Roman" w:hAnsi="Times New Roman" w:cs="Times New Roman"/>
        </w:rPr>
        <w:t>Holyrood’s committee</w:t>
      </w:r>
      <w:r w:rsidR="00BB292B" w:rsidRPr="00FE5432">
        <w:rPr>
          <w:rFonts w:ascii="Times New Roman" w:hAnsi="Times New Roman" w:cs="Times New Roman"/>
        </w:rPr>
        <w:t xml:space="preserve"> </w:t>
      </w:r>
      <w:r w:rsidR="005202D7" w:rsidRPr="00FE5432">
        <w:rPr>
          <w:rFonts w:ascii="Times New Roman" w:hAnsi="Times New Roman" w:cs="Times New Roman"/>
        </w:rPr>
        <w:t xml:space="preserve">again </w:t>
      </w:r>
      <w:r w:rsidR="00BB292B" w:rsidRPr="00FE5432">
        <w:rPr>
          <w:rFonts w:ascii="Times New Roman" w:hAnsi="Times New Roman" w:cs="Times New Roman"/>
        </w:rPr>
        <w:t xml:space="preserve">shows more instances of </w:t>
      </w:r>
      <w:r w:rsidR="002D4049" w:rsidRPr="00FE5432">
        <w:rPr>
          <w:rFonts w:ascii="Times New Roman" w:hAnsi="Times New Roman" w:cs="Times New Roman"/>
        </w:rPr>
        <w:t>success).</w:t>
      </w:r>
      <w:r w:rsidR="00BB292B" w:rsidRPr="00FE5432">
        <w:rPr>
          <w:rFonts w:ascii="Times New Roman" w:hAnsi="Times New Roman" w:cs="Times New Roman"/>
        </w:rPr>
        <w:t xml:space="preserve"> </w:t>
      </w:r>
      <w:r w:rsidR="006936E3" w:rsidRPr="00FE5432">
        <w:rPr>
          <w:rFonts w:ascii="Times New Roman" w:hAnsi="Times New Roman" w:cs="Times New Roman"/>
        </w:rPr>
        <w:t xml:space="preserve"> </w:t>
      </w:r>
    </w:p>
    <w:p w14:paraId="6CC77978" w14:textId="3B8BD6F2" w:rsidR="00762795" w:rsidRDefault="00762795" w:rsidP="00FE5432">
      <w:pPr>
        <w:spacing w:line="480" w:lineRule="auto"/>
        <w:ind w:firstLine="360"/>
        <w:rPr>
          <w:rFonts w:ascii="Times New Roman" w:hAnsi="Times New Roman" w:cs="Times New Roman"/>
        </w:rPr>
      </w:pPr>
    </w:p>
    <w:p w14:paraId="7EC1E08C" w14:textId="77777777" w:rsidR="00762795" w:rsidRPr="00FE5432" w:rsidRDefault="00762795" w:rsidP="00FE5432">
      <w:pPr>
        <w:spacing w:line="480" w:lineRule="auto"/>
        <w:ind w:firstLine="360"/>
        <w:rPr>
          <w:rFonts w:ascii="Times New Roman" w:hAnsi="Times New Roman" w:cs="Times New Roman"/>
        </w:rPr>
      </w:pPr>
    </w:p>
    <w:p w14:paraId="1C79AD1C" w14:textId="02F2C3F9" w:rsidR="00BB292B" w:rsidRPr="00FE5432" w:rsidRDefault="00BB292B" w:rsidP="00FE5432">
      <w:pPr>
        <w:spacing w:line="480" w:lineRule="auto"/>
        <w:ind w:firstLine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B292B" w:rsidRPr="00FE5432" w14:paraId="69BFA737" w14:textId="77777777" w:rsidTr="00C8457F">
        <w:tc>
          <w:tcPr>
            <w:tcW w:w="3005" w:type="dxa"/>
          </w:tcPr>
          <w:p w14:paraId="6E8E2972" w14:textId="77777777" w:rsidR="00BB292B" w:rsidRPr="00FE5432" w:rsidRDefault="00BB292B" w:rsidP="00FE543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FE5432">
              <w:rPr>
                <w:rFonts w:ascii="Times New Roman" w:hAnsi="Times New Roman" w:cs="Times New Roman"/>
                <w:b/>
                <w:bCs/>
              </w:rPr>
              <w:t>Outcome of proposed amendments</w:t>
            </w:r>
          </w:p>
        </w:tc>
        <w:tc>
          <w:tcPr>
            <w:tcW w:w="3005" w:type="dxa"/>
          </w:tcPr>
          <w:p w14:paraId="5ED8FA3D" w14:textId="309A8681" w:rsidR="00BB292B" w:rsidRPr="00FE5432" w:rsidRDefault="00BB292B" w:rsidP="00FE543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FE5432">
              <w:rPr>
                <w:rFonts w:ascii="Times New Roman" w:hAnsi="Times New Roman" w:cs="Times New Roman"/>
                <w:b/>
                <w:bCs/>
              </w:rPr>
              <w:t xml:space="preserve">Standards, Procedures and Public Appointments </w:t>
            </w:r>
            <w:r w:rsidR="00684DAB" w:rsidRPr="00FE5432">
              <w:rPr>
                <w:rFonts w:ascii="Times New Roman" w:hAnsi="Times New Roman" w:cs="Times New Roman"/>
                <w:b/>
                <w:bCs/>
              </w:rPr>
              <w:t xml:space="preserve">(SPPA) </w:t>
            </w:r>
            <w:r w:rsidRPr="00FE5432">
              <w:rPr>
                <w:rFonts w:ascii="Times New Roman" w:hAnsi="Times New Roman" w:cs="Times New Roman"/>
                <w:b/>
                <w:bCs/>
              </w:rPr>
              <w:t>Committee on Scottish Elections Bill</w:t>
            </w:r>
          </w:p>
        </w:tc>
        <w:tc>
          <w:tcPr>
            <w:tcW w:w="3006" w:type="dxa"/>
          </w:tcPr>
          <w:p w14:paraId="4504F1DE" w14:textId="743501FF" w:rsidR="00BB292B" w:rsidRPr="00FE5432" w:rsidRDefault="00BB292B" w:rsidP="00FE543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FE5432">
              <w:rPr>
                <w:rFonts w:ascii="Times New Roman" w:hAnsi="Times New Roman" w:cs="Times New Roman"/>
                <w:b/>
                <w:bCs/>
              </w:rPr>
              <w:t>P</w:t>
            </w:r>
            <w:r w:rsidR="00684DAB" w:rsidRPr="00FE5432">
              <w:rPr>
                <w:rFonts w:ascii="Times New Roman" w:hAnsi="Times New Roman" w:cs="Times New Roman"/>
                <w:b/>
                <w:bCs/>
              </w:rPr>
              <w:t>BC</w:t>
            </w:r>
            <w:r w:rsidRPr="00FE5432">
              <w:rPr>
                <w:rFonts w:ascii="Times New Roman" w:hAnsi="Times New Roman" w:cs="Times New Roman"/>
                <w:b/>
                <w:bCs/>
              </w:rPr>
              <w:t xml:space="preserve"> on Northern Ireland Bill </w:t>
            </w:r>
          </w:p>
        </w:tc>
      </w:tr>
      <w:tr w:rsidR="00BB292B" w:rsidRPr="00FE5432" w14:paraId="001EA6B8" w14:textId="77777777" w:rsidTr="00C8457F">
        <w:tc>
          <w:tcPr>
            <w:tcW w:w="3005" w:type="dxa"/>
          </w:tcPr>
          <w:p w14:paraId="787ED373" w14:textId="399BFE71" w:rsidR="00BB292B" w:rsidRPr="00FE5432" w:rsidRDefault="00BB292B" w:rsidP="00FE543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FE5432">
              <w:rPr>
                <w:rFonts w:ascii="Times New Roman" w:hAnsi="Times New Roman" w:cs="Times New Roman"/>
                <w:b/>
                <w:bCs/>
              </w:rPr>
              <w:lastRenderedPageBreak/>
              <w:t>Non-government amendment (rejected by committee vote)</w:t>
            </w:r>
          </w:p>
        </w:tc>
        <w:tc>
          <w:tcPr>
            <w:tcW w:w="3005" w:type="dxa"/>
          </w:tcPr>
          <w:p w14:paraId="3482E740" w14:textId="77777777" w:rsidR="00BB292B" w:rsidRPr="00FE5432" w:rsidRDefault="00BB292B" w:rsidP="00FE543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54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06" w:type="dxa"/>
          </w:tcPr>
          <w:p w14:paraId="1CEE617C" w14:textId="4D361E12" w:rsidR="00BB292B" w:rsidRPr="00FE5432" w:rsidRDefault="00254CEE" w:rsidP="00FE543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5432">
              <w:rPr>
                <w:rFonts w:ascii="Times New Roman" w:hAnsi="Times New Roman" w:cs="Times New Roman"/>
              </w:rPr>
              <w:t>0</w:t>
            </w:r>
          </w:p>
        </w:tc>
      </w:tr>
      <w:tr w:rsidR="00BB292B" w:rsidRPr="00FE5432" w14:paraId="7F34D2BA" w14:textId="77777777" w:rsidTr="00C8457F">
        <w:tc>
          <w:tcPr>
            <w:tcW w:w="3005" w:type="dxa"/>
          </w:tcPr>
          <w:p w14:paraId="32EE9E10" w14:textId="1513D950" w:rsidR="00BB292B" w:rsidRPr="00FE5432" w:rsidRDefault="00BB292B" w:rsidP="00FE543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FE5432">
              <w:rPr>
                <w:rFonts w:ascii="Times New Roman" w:hAnsi="Times New Roman" w:cs="Times New Roman"/>
                <w:b/>
                <w:bCs/>
              </w:rPr>
              <w:t>Non-government amendment (withdrawn without a committee vote following assurances)</w:t>
            </w:r>
          </w:p>
        </w:tc>
        <w:tc>
          <w:tcPr>
            <w:tcW w:w="3005" w:type="dxa"/>
          </w:tcPr>
          <w:p w14:paraId="07328EA7" w14:textId="16DE80D4" w:rsidR="00BB292B" w:rsidRPr="00FE5432" w:rsidRDefault="00031EFD" w:rsidP="00FE543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5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6" w:type="dxa"/>
          </w:tcPr>
          <w:p w14:paraId="39975F6E" w14:textId="34C7FDED" w:rsidR="00BB292B" w:rsidRPr="00FE5432" w:rsidRDefault="00BB292B" w:rsidP="00FE543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5432">
              <w:rPr>
                <w:rFonts w:ascii="Times New Roman" w:hAnsi="Times New Roman" w:cs="Times New Roman"/>
              </w:rPr>
              <w:t>2</w:t>
            </w:r>
            <w:r w:rsidR="00254CEE" w:rsidRPr="00FE5432">
              <w:rPr>
                <w:rFonts w:ascii="Times New Roman" w:hAnsi="Times New Roman" w:cs="Times New Roman"/>
              </w:rPr>
              <w:t>1</w:t>
            </w:r>
          </w:p>
        </w:tc>
      </w:tr>
      <w:tr w:rsidR="00BB292B" w:rsidRPr="00FE5432" w14:paraId="4B360E10" w14:textId="77777777" w:rsidTr="00C8457F">
        <w:tc>
          <w:tcPr>
            <w:tcW w:w="3005" w:type="dxa"/>
          </w:tcPr>
          <w:p w14:paraId="28852C9F" w14:textId="0EC277B3" w:rsidR="00BB292B" w:rsidRPr="00FE5432" w:rsidRDefault="00BB292B" w:rsidP="00FE543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FE5432">
              <w:rPr>
                <w:rFonts w:ascii="Times New Roman" w:hAnsi="Times New Roman" w:cs="Times New Roman"/>
                <w:b/>
                <w:bCs/>
              </w:rPr>
              <w:t>Government success by committee vote</w:t>
            </w:r>
          </w:p>
        </w:tc>
        <w:tc>
          <w:tcPr>
            <w:tcW w:w="3005" w:type="dxa"/>
          </w:tcPr>
          <w:p w14:paraId="180D9DC4" w14:textId="77777777" w:rsidR="00BB292B" w:rsidRPr="00FE5432" w:rsidRDefault="00BB292B" w:rsidP="00FE543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5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6" w:type="dxa"/>
          </w:tcPr>
          <w:p w14:paraId="5D6A1F0D" w14:textId="77777777" w:rsidR="00BB292B" w:rsidRPr="00FE5432" w:rsidRDefault="00BB292B" w:rsidP="00FE543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5432">
              <w:rPr>
                <w:rFonts w:ascii="Times New Roman" w:hAnsi="Times New Roman" w:cs="Times New Roman"/>
              </w:rPr>
              <w:t>1</w:t>
            </w:r>
          </w:p>
        </w:tc>
      </w:tr>
      <w:tr w:rsidR="00BB292B" w:rsidRPr="00FE5432" w14:paraId="7D2BFFBF" w14:textId="77777777" w:rsidTr="00C8457F">
        <w:tc>
          <w:tcPr>
            <w:tcW w:w="3005" w:type="dxa"/>
          </w:tcPr>
          <w:p w14:paraId="73C65B91" w14:textId="1BF8083B" w:rsidR="00BB292B" w:rsidRPr="00FE5432" w:rsidRDefault="00BB292B" w:rsidP="00FE543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FE5432">
              <w:rPr>
                <w:rFonts w:ascii="Times New Roman" w:hAnsi="Times New Roman" w:cs="Times New Roman"/>
                <w:b/>
                <w:bCs/>
              </w:rPr>
              <w:t>Non-government success by committee vote</w:t>
            </w:r>
          </w:p>
        </w:tc>
        <w:tc>
          <w:tcPr>
            <w:tcW w:w="3005" w:type="dxa"/>
          </w:tcPr>
          <w:p w14:paraId="1BB3CF20" w14:textId="77777777" w:rsidR="00BB292B" w:rsidRPr="00FE5432" w:rsidRDefault="00BB292B" w:rsidP="00FE543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5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6" w:type="dxa"/>
          </w:tcPr>
          <w:p w14:paraId="5C1DC56E" w14:textId="3BA77575" w:rsidR="00BB292B" w:rsidRPr="00FE5432" w:rsidRDefault="00BB292B" w:rsidP="00FE543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5432">
              <w:rPr>
                <w:rFonts w:ascii="Times New Roman" w:hAnsi="Times New Roman" w:cs="Times New Roman"/>
              </w:rPr>
              <w:t>0</w:t>
            </w:r>
          </w:p>
        </w:tc>
      </w:tr>
      <w:tr w:rsidR="00EF1B90" w:rsidRPr="00FE5432" w14:paraId="7F843E75" w14:textId="77777777" w:rsidTr="00C8457F">
        <w:tc>
          <w:tcPr>
            <w:tcW w:w="3005" w:type="dxa"/>
          </w:tcPr>
          <w:p w14:paraId="0FE6AF4F" w14:textId="2E91ED10" w:rsidR="00EF1B90" w:rsidRPr="00FE5432" w:rsidRDefault="00EF1B90" w:rsidP="00FE543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FE5432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3005" w:type="dxa"/>
          </w:tcPr>
          <w:p w14:paraId="1FE027F8" w14:textId="49AB697D" w:rsidR="00EF1B90" w:rsidRPr="00FE5432" w:rsidRDefault="00031EFD" w:rsidP="00FE543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543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06" w:type="dxa"/>
          </w:tcPr>
          <w:p w14:paraId="756A0665" w14:textId="08AF99B9" w:rsidR="00EF1B90" w:rsidRPr="00FE5432" w:rsidRDefault="00EF1B90" w:rsidP="00FE543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5432">
              <w:rPr>
                <w:rFonts w:ascii="Times New Roman" w:hAnsi="Times New Roman" w:cs="Times New Roman"/>
              </w:rPr>
              <w:t>22</w:t>
            </w:r>
          </w:p>
        </w:tc>
      </w:tr>
    </w:tbl>
    <w:p w14:paraId="0D3E454A" w14:textId="77777777" w:rsidR="006936E3" w:rsidRPr="00FE5432" w:rsidRDefault="006936E3" w:rsidP="00FE5432">
      <w:pPr>
        <w:spacing w:line="480" w:lineRule="auto"/>
        <w:rPr>
          <w:rFonts w:ascii="Times New Roman" w:hAnsi="Times New Roman" w:cs="Times New Roman"/>
        </w:rPr>
      </w:pPr>
    </w:p>
    <w:p w14:paraId="227EE480" w14:textId="4F8F0A36" w:rsidR="00031EFD" w:rsidRDefault="001F1125" w:rsidP="00FE5432">
      <w:pPr>
        <w:spacing w:line="480" w:lineRule="auto"/>
        <w:rPr>
          <w:rFonts w:ascii="Times New Roman" w:eastAsia="Times New Roman" w:hAnsi="Times New Roman" w:cs="Times New Roman"/>
          <w:lang w:eastAsia="en-GB"/>
        </w:rPr>
      </w:pPr>
      <w:r w:rsidRPr="00FE5432">
        <w:rPr>
          <w:rFonts w:ascii="Times New Roman" w:hAnsi="Times New Roman" w:cs="Times New Roman"/>
        </w:rPr>
        <w:t>Table 2. Adapted from</w:t>
      </w:r>
      <w:r w:rsidR="00065542" w:rsidRPr="00FE5432">
        <w:rPr>
          <w:rFonts w:ascii="Times New Roman" w:hAnsi="Times New Roman" w:cs="Times New Roman"/>
        </w:rPr>
        <w:t xml:space="preserve"> </w:t>
      </w:r>
      <w:proofErr w:type="spellStart"/>
      <w:r w:rsidR="00A77D3C" w:rsidRPr="00532406">
        <w:rPr>
          <w:rFonts w:ascii="Times New Roman" w:hAnsi="Times New Roman" w:cs="Times New Roman"/>
        </w:rPr>
        <w:t>H</w:t>
      </w:r>
      <w:r w:rsidR="00555320">
        <w:rPr>
          <w:rFonts w:ascii="Times New Roman" w:hAnsi="Times New Roman" w:cs="Times New Roman"/>
        </w:rPr>
        <w:t>oC</w:t>
      </w:r>
      <w:proofErr w:type="spellEnd"/>
      <w:r w:rsidR="00A77D3C">
        <w:rPr>
          <w:rFonts w:ascii="Times New Roman" w:hAnsi="Times New Roman" w:cs="Times New Roman"/>
        </w:rPr>
        <w:t xml:space="preserve">, </w:t>
      </w:r>
      <w:r w:rsidR="00A77D3C" w:rsidRPr="00532406">
        <w:rPr>
          <w:rFonts w:ascii="Times New Roman" w:hAnsi="Times New Roman" w:cs="Times New Roman"/>
        </w:rPr>
        <w:t>2021</w:t>
      </w:r>
      <w:r w:rsidR="00A77D3C">
        <w:rPr>
          <w:rFonts w:ascii="Times New Roman" w:hAnsi="Times New Roman" w:cs="Times New Roman"/>
        </w:rPr>
        <w:t>a; 2021b; SPCB, 2020; Scottish Parliament, 2019; 2020</w:t>
      </w:r>
      <w:r w:rsidR="00704A97">
        <w:rPr>
          <w:rFonts w:ascii="Times New Roman" w:hAnsi="Times New Roman" w:cs="Times New Roman"/>
        </w:rPr>
        <w:t>.</w:t>
      </w:r>
    </w:p>
    <w:p w14:paraId="2D2054C8" w14:textId="77777777" w:rsidR="00A77D3C" w:rsidRPr="00A77D3C" w:rsidRDefault="00A77D3C" w:rsidP="00FE5432">
      <w:pPr>
        <w:spacing w:line="480" w:lineRule="auto"/>
        <w:rPr>
          <w:rFonts w:ascii="Times New Roman" w:eastAsia="Times New Roman" w:hAnsi="Times New Roman" w:cs="Times New Roman"/>
          <w:lang w:eastAsia="en-GB"/>
        </w:rPr>
      </w:pPr>
    </w:p>
    <w:p w14:paraId="536E8E50" w14:textId="7CE0495E" w:rsidR="00BB292B" w:rsidRPr="00FE5432" w:rsidRDefault="00BB292B" w:rsidP="00FE5432">
      <w:pPr>
        <w:spacing w:line="480" w:lineRule="auto"/>
        <w:ind w:firstLine="360"/>
        <w:rPr>
          <w:rFonts w:ascii="Times New Roman" w:hAnsi="Times New Roman" w:cs="Times New Roman"/>
        </w:rPr>
      </w:pPr>
      <w:r w:rsidRPr="00FE5432">
        <w:rPr>
          <w:rFonts w:ascii="Times New Roman" w:hAnsi="Times New Roman" w:cs="Times New Roman"/>
        </w:rPr>
        <w:t>Looking crudely at government and non-government success</w:t>
      </w:r>
      <w:r w:rsidR="002D217A">
        <w:rPr>
          <w:rFonts w:ascii="Times New Roman" w:hAnsi="Times New Roman" w:cs="Times New Roman"/>
        </w:rPr>
        <w:t>es</w:t>
      </w:r>
      <w:r w:rsidRPr="00FE5432">
        <w:rPr>
          <w:rFonts w:ascii="Times New Roman" w:hAnsi="Times New Roman" w:cs="Times New Roman"/>
        </w:rPr>
        <w:t xml:space="preserve">, whilst the non-government contingent was more successful in the Scottish setting, it was also the context in which government </w:t>
      </w:r>
      <w:r w:rsidR="001C43D3" w:rsidRPr="00FE5432">
        <w:rPr>
          <w:rFonts w:ascii="Times New Roman" w:hAnsi="Times New Roman" w:cs="Times New Roman"/>
        </w:rPr>
        <w:t>dominated</w:t>
      </w:r>
      <w:r w:rsidRPr="00FE5432">
        <w:rPr>
          <w:rFonts w:ascii="Times New Roman" w:hAnsi="Times New Roman" w:cs="Times New Roman"/>
        </w:rPr>
        <w:t xml:space="preserve"> mo</w:t>
      </w:r>
      <w:r w:rsidR="00556719" w:rsidRPr="00FE5432">
        <w:rPr>
          <w:rFonts w:ascii="Times New Roman" w:hAnsi="Times New Roman" w:cs="Times New Roman"/>
        </w:rPr>
        <w:t>st</w:t>
      </w:r>
      <w:r w:rsidR="001F1125" w:rsidRPr="00FE5432">
        <w:rPr>
          <w:rFonts w:ascii="Times New Roman" w:hAnsi="Times New Roman" w:cs="Times New Roman"/>
        </w:rPr>
        <w:t xml:space="preserve"> (Table 2)</w:t>
      </w:r>
      <w:r w:rsidRPr="00FE5432">
        <w:rPr>
          <w:rFonts w:ascii="Times New Roman" w:hAnsi="Times New Roman" w:cs="Times New Roman"/>
        </w:rPr>
        <w:t xml:space="preserve">. </w:t>
      </w:r>
    </w:p>
    <w:p w14:paraId="3741DB92" w14:textId="2553C579" w:rsidR="004B0B1E" w:rsidRPr="00FE5432" w:rsidRDefault="004B0B1E" w:rsidP="00FE5432">
      <w:pPr>
        <w:spacing w:line="480" w:lineRule="auto"/>
        <w:rPr>
          <w:rFonts w:ascii="Times New Roman" w:hAnsi="Times New Roman" w:cs="Times New Roman"/>
        </w:rPr>
      </w:pPr>
    </w:p>
    <w:p w14:paraId="7B48C3EA" w14:textId="436BA82A" w:rsidR="00992417" w:rsidRPr="00FE5432" w:rsidRDefault="00BB292B" w:rsidP="00FE5432">
      <w:pPr>
        <w:spacing w:line="480" w:lineRule="auto"/>
        <w:ind w:firstLine="360"/>
        <w:rPr>
          <w:rFonts w:ascii="Times New Roman" w:hAnsi="Times New Roman" w:cs="Times New Roman"/>
        </w:rPr>
      </w:pPr>
      <w:r w:rsidRPr="00FE5432">
        <w:rPr>
          <w:rFonts w:ascii="Times New Roman" w:hAnsi="Times New Roman" w:cs="Times New Roman"/>
        </w:rPr>
        <w:t xml:space="preserve">An important qualification is that </w:t>
      </w:r>
      <w:r w:rsidR="00F8163F" w:rsidRPr="00FE5432">
        <w:rPr>
          <w:rFonts w:ascii="Times New Roman" w:hAnsi="Times New Roman" w:cs="Times New Roman"/>
        </w:rPr>
        <w:t xml:space="preserve">government </w:t>
      </w:r>
      <w:r w:rsidRPr="00FE5432">
        <w:rPr>
          <w:rFonts w:ascii="Times New Roman" w:hAnsi="Times New Roman" w:cs="Times New Roman"/>
        </w:rPr>
        <w:t>amendments in both committees straddled ‘</w:t>
      </w:r>
      <w:r w:rsidR="00F8163F" w:rsidRPr="00FE5432">
        <w:rPr>
          <w:rFonts w:ascii="Times New Roman" w:hAnsi="Times New Roman" w:cs="Times New Roman"/>
        </w:rPr>
        <w:t>typographical</w:t>
      </w:r>
      <w:r w:rsidRPr="00FE5432">
        <w:rPr>
          <w:rFonts w:ascii="Times New Roman" w:hAnsi="Times New Roman" w:cs="Times New Roman"/>
        </w:rPr>
        <w:t xml:space="preserve">’ and ‘clarificatory’ categories. In </w:t>
      </w:r>
      <w:r w:rsidR="009303B4" w:rsidRPr="00FE5432">
        <w:rPr>
          <w:rFonts w:ascii="Times New Roman" w:hAnsi="Times New Roman" w:cs="Times New Roman"/>
        </w:rPr>
        <w:t>Holyrood’s</w:t>
      </w:r>
      <w:r w:rsidRPr="00FE5432">
        <w:rPr>
          <w:rFonts w:ascii="Times New Roman" w:hAnsi="Times New Roman" w:cs="Times New Roman"/>
        </w:rPr>
        <w:t xml:space="preserve"> committee, amendment</w:t>
      </w:r>
      <w:r w:rsidR="000947FA" w:rsidRPr="00FE5432">
        <w:rPr>
          <w:rFonts w:ascii="Times New Roman" w:hAnsi="Times New Roman" w:cs="Times New Roman"/>
        </w:rPr>
        <w:t>s</w:t>
      </w:r>
      <w:r w:rsidRPr="00FE5432">
        <w:rPr>
          <w:rFonts w:ascii="Times New Roman" w:hAnsi="Times New Roman" w:cs="Times New Roman"/>
        </w:rPr>
        <w:t xml:space="preserve"> simply sought to limit interpretation</w:t>
      </w:r>
      <w:r w:rsidR="002D217A">
        <w:rPr>
          <w:rFonts w:ascii="Times New Roman" w:hAnsi="Times New Roman" w:cs="Times New Roman"/>
        </w:rPr>
        <w:t>s</w:t>
      </w:r>
      <w:r w:rsidRPr="00FE5432">
        <w:rPr>
          <w:rFonts w:ascii="Times New Roman" w:hAnsi="Times New Roman" w:cs="Times New Roman"/>
        </w:rPr>
        <w:t xml:space="preserve"> of clauses, </w:t>
      </w:r>
      <w:r w:rsidR="000947FA" w:rsidRPr="00FE5432">
        <w:rPr>
          <w:rFonts w:ascii="Times New Roman" w:hAnsi="Times New Roman" w:cs="Times New Roman"/>
        </w:rPr>
        <w:t xml:space="preserve">being </w:t>
      </w:r>
      <w:r w:rsidRPr="00FE5432">
        <w:rPr>
          <w:rFonts w:ascii="Times New Roman" w:hAnsi="Times New Roman" w:cs="Times New Roman"/>
        </w:rPr>
        <w:t xml:space="preserve">concerned with prisoner voting </w:t>
      </w:r>
      <w:r w:rsidR="000947FA" w:rsidRPr="00FE5432">
        <w:rPr>
          <w:rFonts w:ascii="Times New Roman" w:hAnsi="Times New Roman" w:cs="Times New Roman"/>
        </w:rPr>
        <w:t xml:space="preserve">logistics </w:t>
      </w:r>
      <w:r w:rsidRPr="00FE5432">
        <w:rPr>
          <w:rFonts w:ascii="Times New Roman" w:hAnsi="Times New Roman" w:cs="Times New Roman"/>
        </w:rPr>
        <w:t>(</w:t>
      </w:r>
      <w:r w:rsidR="00F512B1">
        <w:rPr>
          <w:rFonts w:ascii="Times New Roman" w:hAnsi="Times New Roman" w:cs="Times New Roman"/>
        </w:rPr>
        <w:t>Scottish Parliament, 2020</w:t>
      </w:r>
      <w:r w:rsidRPr="00FE5432">
        <w:rPr>
          <w:rFonts w:ascii="Times New Roman" w:hAnsi="Times New Roman" w:cs="Times New Roman"/>
        </w:rPr>
        <w:t xml:space="preserve">). In </w:t>
      </w:r>
      <w:r w:rsidR="009303B4" w:rsidRPr="00FE5432">
        <w:rPr>
          <w:rFonts w:ascii="Times New Roman" w:hAnsi="Times New Roman" w:cs="Times New Roman"/>
        </w:rPr>
        <w:t>Westminster’s committee</w:t>
      </w:r>
      <w:r w:rsidRPr="00FE5432">
        <w:rPr>
          <w:rFonts w:ascii="Times New Roman" w:hAnsi="Times New Roman" w:cs="Times New Roman"/>
        </w:rPr>
        <w:t>, the amendment</w:t>
      </w:r>
      <w:r w:rsidR="000947FA" w:rsidRPr="00FE5432">
        <w:rPr>
          <w:rFonts w:ascii="Times New Roman" w:hAnsi="Times New Roman" w:cs="Times New Roman"/>
        </w:rPr>
        <w:t xml:space="preserve"> </w:t>
      </w:r>
      <w:r w:rsidR="0066013B" w:rsidRPr="00FE5432">
        <w:rPr>
          <w:rFonts w:ascii="Times New Roman" w:hAnsi="Times New Roman" w:cs="Times New Roman"/>
        </w:rPr>
        <w:t>replaced</w:t>
      </w:r>
      <w:r w:rsidRPr="00FE5432">
        <w:rPr>
          <w:rFonts w:ascii="Times New Roman" w:hAnsi="Times New Roman" w:cs="Times New Roman"/>
        </w:rPr>
        <w:t xml:space="preserve"> ‘including’ with ‘which may </w:t>
      </w:r>
      <w:r w:rsidR="003746F9" w:rsidRPr="00FE5432">
        <w:rPr>
          <w:rFonts w:ascii="Times New Roman" w:hAnsi="Times New Roman" w:cs="Times New Roman"/>
        </w:rPr>
        <w:t>include</w:t>
      </w:r>
      <w:r w:rsidRPr="00FE5432">
        <w:rPr>
          <w:rFonts w:ascii="Times New Roman" w:hAnsi="Times New Roman" w:cs="Times New Roman"/>
        </w:rPr>
        <w:t>’ (</w:t>
      </w:r>
      <w:proofErr w:type="spellStart"/>
      <w:r w:rsidR="00056385" w:rsidRPr="00532406">
        <w:rPr>
          <w:rFonts w:ascii="Times New Roman" w:hAnsi="Times New Roman" w:cs="Times New Roman"/>
        </w:rPr>
        <w:t>Ho</w:t>
      </w:r>
      <w:r w:rsidR="00555320">
        <w:rPr>
          <w:rFonts w:ascii="Times New Roman" w:hAnsi="Times New Roman" w:cs="Times New Roman"/>
        </w:rPr>
        <w:t>C</w:t>
      </w:r>
      <w:proofErr w:type="spellEnd"/>
      <w:r w:rsidR="00056385">
        <w:rPr>
          <w:rFonts w:ascii="Times New Roman" w:hAnsi="Times New Roman" w:cs="Times New Roman"/>
        </w:rPr>
        <w:t xml:space="preserve">, </w:t>
      </w:r>
      <w:r w:rsidR="00056385" w:rsidRPr="00532406">
        <w:rPr>
          <w:rFonts w:ascii="Times New Roman" w:hAnsi="Times New Roman" w:cs="Times New Roman"/>
        </w:rPr>
        <w:t>2021</w:t>
      </w:r>
      <w:r w:rsidR="00056385">
        <w:rPr>
          <w:rFonts w:ascii="Times New Roman" w:hAnsi="Times New Roman" w:cs="Times New Roman"/>
        </w:rPr>
        <w:t>b:</w:t>
      </w:r>
      <w:r w:rsidR="00056385" w:rsidRPr="00FE5432">
        <w:rPr>
          <w:rFonts w:ascii="Times New Roman" w:hAnsi="Times New Roman" w:cs="Times New Roman"/>
        </w:rPr>
        <w:t xml:space="preserve"> </w:t>
      </w:r>
      <w:r w:rsidRPr="00FE5432">
        <w:rPr>
          <w:rFonts w:ascii="Times New Roman" w:hAnsi="Times New Roman" w:cs="Times New Roman"/>
        </w:rPr>
        <w:t>86).</w:t>
      </w:r>
      <w:r w:rsidR="003746F9" w:rsidRPr="00FE5432">
        <w:rPr>
          <w:rFonts w:ascii="Times New Roman" w:hAnsi="Times New Roman" w:cs="Times New Roman"/>
        </w:rPr>
        <w:t xml:space="preserve"> Overall</w:t>
      </w:r>
      <w:r w:rsidR="000947FA" w:rsidRPr="00FE5432">
        <w:rPr>
          <w:rFonts w:ascii="Times New Roman" w:hAnsi="Times New Roman" w:cs="Times New Roman"/>
        </w:rPr>
        <w:t>,</w:t>
      </w:r>
      <w:r w:rsidR="003746F9" w:rsidRPr="00FE5432">
        <w:rPr>
          <w:rFonts w:ascii="Times New Roman" w:hAnsi="Times New Roman" w:cs="Times New Roman"/>
        </w:rPr>
        <w:t xml:space="preserve"> </w:t>
      </w:r>
      <w:r w:rsidR="00992417" w:rsidRPr="00FE5432">
        <w:rPr>
          <w:rFonts w:ascii="Times New Roman" w:hAnsi="Times New Roman" w:cs="Times New Roman"/>
        </w:rPr>
        <w:t xml:space="preserve">no conclusive comparative points can be drawn on the basis of successful government amendments, </w:t>
      </w:r>
      <w:r w:rsidR="003746F9" w:rsidRPr="00FE5432">
        <w:rPr>
          <w:rFonts w:ascii="Times New Roman" w:hAnsi="Times New Roman" w:cs="Times New Roman"/>
        </w:rPr>
        <w:t xml:space="preserve">but both </w:t>
      </w:r>
      <w:r w:rsidR="00351C1E" w:rsidRPr="00FE5432">
        <w:rPr>
          <w:rFonts w:ascii="Times New Roman" w:hAnsi="Times New Roman" w:cs="Times New Roman"/>
        </w:rPr>
        <w:t xml:space="preserve">contexts </w:t>
      </w:r>
      <w:r w:rsidR="00351C1E" w:rsidRPr="00FE5432">
        <w:rPr>
          <w:rFonts w:ascii="Times New Roman" w:hAnsi="Times New Roman" w:cs="Times New Roman"/>
        </w:rPr>
        <w:lastRenderedPageBreak/>
        <w:t>evince that</w:t>
      </w:r>
      <w:r w:rsidR="00992417" w:rsidRPr="00FE5432">
        <w:rPr>
          <w:rFonts w:ascii="Times New Roman" w:hAnsi="Times New Roman" w:cs="Times New Roman"/>
        </w:rPr>
        <w:t xml:space="preserve"> government success </w:t>
      </w:r>
      <w:r w:rsidR="00DB3203" w:rsidRPr="00FE5432">
        <w:rPr>
          <w:rFonts w:ascii="Times New Roman" w:hAnsi="Times New Roman" w:cs="Times New Roman"/>
        </w:rPr>
        <w:t>is</w:t>
      </w:r>
      <w:r w:rsidR="00992417" w:rsidRPr="00FE5432">
        <w:rPr>
          <w:rFonts w:ascii="Times New Roman" w:hAnsi="Times New Roman" w:cs="Times New Roman"/>
        </w:rPr>
        <w:t xml:space="preserve"> easily over-exaggerated when not accounting for substantiveness of amendments. </w:t>
      </w:r>
    </w:p>
    <w:p w14:paraId="0B11D337" w14:textId="45E0ACD6" w:rsidR="00992417" w:rsidRPr="00FE5432" w:rsidRDefault="00992417" w:rsidP="00FE5432">
      <w:pPr>
        <w:spacing w:line="480" w:lineRule="auto"/>
        <w:ind w:firstLine="360"/>
        <w:rPr>
          <w:rFonts w:ascii="Times New Roman" w:hAnsi="Times New Roman" w:cs="Times New Roman"/>
        </w:rPr>
      </w:pPr>
    </w:p>
    <w:p w14:paraId="03EC4BD2" w14:textId="3E42299F" w:rsidR="00992417" w:rsidRPr="00FE5432" w:rsidRDefault="00910A1E" w:rsidP="00FE5432">
      <w:pPr>
        <w:spacing w:line="480" w:lineRule="auto"/>
        <w:ind w:firstLine="360"/>
        <w:rPr>
          <w:rFonts w:ascii="Times New Roman" w:hAnsi="Times New Roman" w:cs="Times New Roman"/>
        </w:rPr>
      </w:pPr>
      <w:r w:rsidRPr="00FE5432">
        <w:rPr>
          <w:rFonts w:ascii="Times New Roman" w:hAnsi="Times New Roman" w:cs="Times New Roman"/>
        </w:rPr>
        <w:t>B</w:t>
      </w:r>
      <w:r w:rsidR="00992417" w:rsidRPr="00FE5432">
        <w:rPr>
          <w:rFonts w:ascii="Times New Roman" w:hAnsi="Times New Roman" w:cs="Times New Roman"/>
        </w:rPr>
        <w:t>rief observation</w:t>
      </w:r>
      <w:r w:rsidRPr="00FE5432">
        <w:rPr>
          <w:rFonts w:ascii="Times New Roman" w:hAnsi="Times New Roman" w:cs="Times New Roman"/>
        </w:rPr>
        <w:t xml:space="preserve">s also </w:t>
      </w:r>
      <w:r w:rsidR="00992417" w:rsidRPr="00FE5432">
        <w:rPr>
          <w:rFonts w:ascii="Times New Roman" w:hAnsi="Times New Roman" w:cs="Times New Roman"/>
        </w:rPr>
        <w:t xml:space="preserve">lead to a conclusion that </w:t>
      </w:r>
      <w:r w:rsidR="00C976EA" w:rsidRPr="00FE5432">
        <w:rPr>
          <w:rFonts w:ascii="Times New Roman" w:hAnsi="Times New Roman" w:cs="Times New Roman"/>
        </w:rPr>
        <w:t>Westminster’s</w:t>
      </w:r>
      <w:r w:rsidR="00992417" w:rsidRPr="00FE5432">
        <w:rPr>
          <w:rFonts w:ascii="Times New Roman" w:hAnsi="Times New Roman" w:cs="Times New Roman"/>
        </w:rPr>
        <w:t xml:space="preserve"> committee had more influence </w:t>
      </w:r>
      <w:r w:rsidRPr="00FE5432">
        <w:rPr>
          <w:rFonts w:ascii="Times New Roman" w:hAnsi="Times New Roman" w:cs="Times New Roman"/>
        </w:rPr>
        <w:t xml:space="preserve">as </w:t>
      </w:r>
      <w:r w:rsidR="00992417" w:rsidRPr="00FE5432">
        <w:rPr>
          <w:rFonts w:ascii="Times New Roman" w:hAnsi="Times New Roman" w:cs="Times New Roman"/>
        </w:rPr>
        <w:t xml:space="preserve">more </w:t>
      </w:r>
      <w:r w:rsidR="00797D16" w:rsidRPr="00FE5432">
        <w:rPr>
          <w:rFonts w:ascii="Times New Roman" w:hAnsi="Times New Roman" w:cs="Times New Roman"/>
        </w:rPr>
        <w:t xml:space="preserve">non-government amendments were </w:t>
      </w:r>
      <w:r w:rsidR="00992417" w:rsidRPr="00FE5432">
        <w:rPr>
          <w:rFonts w:ascii="Times New Roman" w:hAnsi="Times New Roman" w:cs="Times New Roman"/>
        </w:rPr>
        <w:t>withdrawn</w:t>
      </w:r>
      <w:r w:rsidRPr="00FE5432">
        <w:rPr>
          <w:rFonts w:ascii="Times New Roman" w:hAnsi="Times New Roman" w:cs="Times New Roman"/>
        </w:rPr>
        <w:t xml:space="preserve"> </w:t>
      </w:r>
      <w:r w:rsidR="00C976EA" w:rsidRPr="00FE5432">
        <w:rPr>
          <w:rFonts w:ascii="Times New Roman" w:hAnsi="Times New Roman" w:cs="Times New Roman"/>
        </w:rPr>
        <w:t>not</w:t>
      </w:r>
      <w:r w:rsidR="00992417" w:rsidRPr="00FE5432">
        <w:rPr>
          <w:rFonts w:ascii="Times New Roman" w:hAnsi="Times New Roman" w:cs="Times New Roman"/>
        </w:rPr>
        <w:t xml:space="preserve"> rejected</w:t>
      </w:r>
      <w:r w:rsidRPr="00FE5432">
        <w:rPr>
          <w:rFonts w:ascii="Times New Roman" w:hAnsi="Times New Roman" w:cs="Times New Roman"/>
        </w:rPr>
        <w:t>.</w:t>
      </w:r>
      <w:r w:rsidR="00992417" w:rsidRPr="00FE5432">
        <w:rPr>
          <w:rFonts w:ascii="Times New Roman" w:hAnsi="Times New Roman" w:cs="Times New Roman"/>
        </w:rPr>
        <w:t xml:space="preserve"> </w:t>
      </w:r>
      <w:r w:rsidRPr="00FE5432">
        <w:rPr>
          <w:rFonts w:ascii="Times New Roman" w:hAnsi="Times New Roman" w:cs="Times New Roman"/>
        </w:rPr>
        <w:t xml:space="preserve">However, </w:t>
      </w:r>
      <w:r w:rsidR="00164B0A" w:rsidRPr="00FE5432">
        <w:rPr>
          <w:rFonts w:ascii="Times New Roman" w:hAnsi="Times New Roman" w:cs="Times New Roman"/>
        </w:rPr>
        <w:t>Holyrood’s</w:t>
      </w:r>
      <w:r w:rsidR="00992417" w:rsidRPr="00FE5432">
        <w:rPr>
          <w:rFonts w:ascii="Times New Roman" w:hAnsi="Times New Roman" w:cs="Times New Roman"/>
        </w:rPr>
        <w:t xml:space="preserve"> committee probably had most influence</w:t>
      </w:r>
      <w:r w:rsidRPr="00FE5432">
        <w:rPr>
          <w:rFonts w:ascii="Times New Roman" w:hAnsi="Times New Roman" w:cs="Times New Roman"/>
        </w:rPr>
        <w:t xml:space="preserve"> on this measure:</w:t>
      </w:r>
      <w:r w:rsidR="00D25E28" w:rsidRPr="00FE5432">
        <w:rPr>
          <w:rFonts w:ascii="Times New Roman" w:hAnsi="Times New Roman" w:cs="Times New Roman"/>
        </w:rPr>
        <w:t xml:space="preserve"> </w:t>
      </w:r>
      <w:r w:rsidR="00992417" w:rsidRPr="00FE5432">
        <w:rPr>
          <w:rFonts w:ascii="Times New Roman" w:hAnsi="Times New Roman" w:cs="Times New Roman"/>
        </w:rPr>
        <w:t xml:space="preserve">those 17 </w:t>
      </w:r>
      <w:r w:rsidRPr="00FE5432">
        <w:rPr>
          <w:rFonts w:ascii="Times New Roman" w:hAnsi="Times New Roman" w:cs="Times New Roman"/>
        </w:rPr>
        <w:t xml:space="preserve">rejected </w:t>
      </w:r>
      <w:r w:rsidR="00797D16" w:rsidRPr="00FE5432">
        <w:rPr>
          <w:rFonts w:ascii="Times New Roman" w:hAnsi="Times New Roman" w:cs="Times New Roman"/>
        </w:rPr>
        <w:t xml:space="preserve">amendments </w:t>
      </w:r>
      <w:r w:rsidRPr="00FE5432">
        <w:rPr>
          <w:rFonts w:ascii="Times New Roman" w:hAnsi="Times New Roman" w:cs="Times New Roman"/>
        </w:rPr>
        <w:t>are</w:t>
      </w:r>
      <w:r w:rsidR="00992417" w:rsidRPr="00FE5432">
        <w:rPr>
          <w:rFonts w:ascii="Times New Roman" w:hAnsi="Times New Roman" w:cs="Times New Roman"/>
        </w:rPr>
        <w:t xml:space="preserve"> further categorised</w:t>
      </w:r>
      <w:r w:rsidR="00797D16" w:rsidRPr="00FE5432">
        <w:rPr>
          <w:rFonts w:ascii="Times New Roman" w:hAnsi="Times New Roman" w:cs="Times New Roman"/>
        </w:rPr>
        <w:t xml:space="preserve"> </w:t>
      </w:r>
      <w:r w:rsidR="00BE3E97">
        <w:rPr>
          <w:rFonts w:ascii="Times New Roman" w:hAnsi="Times New Roman" w:cs="Times New Roman"/>
        </w:rPr>
        <w:t>(Table 3).</w:t>
      </w:r>
    </w:p>
    <w:p w14:paraId="1B25623A" w14:textId="77777777" w:rsidR="00992417" w:rsidRPr="00FE5432" w:rsidRDefault="00992417" w:rsidP="00FE5432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992417" w:rsidRPr="00FE5432" w14:paraId="50E1BA50" w14:textId="77777777" w:rsidTr="00C8457F">
        <w:tc>
          <w:tcPr>
            <w:tcW w:w="3005" w:type="dxa"/>
          </w:tcPr>
          <w:p w14:paraId="0436019F" w14:textId="2E554428" w:rsidR="00992417" w:rsidRPr="00FE5432" w:rsidRDefault="00992417" w:rsidP="00FE543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FE5432">
              <w:rPr>
                <w:rFonts w:ascii="Times New Roman" w:hAnsi="Times New Roman" w:cs="Times New Roman"/>
                <w:b/>
                <w:bCs/>
              </w:rPr>
              <w:t>Outcome</w:t>
            </w:r>
            <w:r w:rsidR="00EA0E0B" w:rsidRPr="00FE5432">
              <w:rPr>
                <w:rFonts w:ascii="Times New Roman" w:hAnsi="Times New Roman" w:cs="Times New Roman"/>
                <w:b/>
                <w:bCs/>
              </w:rPr>
              <w:t xml:space="preserve"> of amendment</w:t>
            </w:r>
          </w:p>
        </w:tc>
        <w:tc>
          <w:tcPr>
            <w:tcW w:w="3005" w:type="dxa"/>
          </w:tcPr>
          <w:p w14:paraId="26E8ED3B" w14:textId="72765527" w:rsidR="00992417" w:rsidRPr="00FE5432" w:rsidRDefault="00992417" w:rsidP="00FE543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FE5432">
              <w:rPr>
                <w:rFonts w:ascii="Times New Roman" w:hAnsi="Times New Roman" w:cs="Times New Roman"/>
                <w:b/>
                <w:bCs/>
              </w:rPr>
              <w:t>SPPA Committee</w:t>
            </w:r>
            <w:r w:rsidR="00EA0E0B" w:rsidRPr="00FE543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92417" w:rsidRPr="00FE5432" w14:paraId="11D023C8" w14:textId="77777777" w:rsidTr="00C8457F">
        <w:tc>
          <w:tcPr>
            <w:tcW w:w="3005" w:type="dxa"/>
          </w:tcPr>
          <w:p w14:paraId="7EB56CA5" w14:textId="2FB77F94" w:rsidR="00992417" w:rsidRPr="00FE5432" w:rsidRDefault="00992417" w:rsidP="00FE543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5432">
              <w:rPr>
                <w:rFonts w:ascii="Times New Roman" w:hAnsi="Times New Roman" w:cs="Times New Roman"/>
                <w:b/>
                <w:bCs/>
              </w:rPr>
              <w:t>Rejected</w:t>
            </w:r>
            <w:r w:rsidRPr="00FE5432">
              <w:rPr>
                <w:rFonts w:ascii="Times New Roman" w:hAnsi="Times New Roman" w:cs="Times New Roman"/>
              </w:rPr>
              <w:t xml:space="preserve"> </w:t>
            </w:r>
            <w:r w:rsidRPr="00FE5432">
              <w:rPr>
                <w:rFonts w:ascii="Times New Roman" w:hAnsi="Times New Roman" w:cs="Times New Roman"/>
                <w:b/>
                <w:bCs/>
              </w:rPr>
              <w:t>despite significant minority support</w:t>
            </w:r>
          </w:p>
        </w:tc>
        <w:tc>
          <w:tcPr>
            <w:tcW w:w="3005" w:type="dxa"/>
          </w:tcPr>
          <w:p w14:paraId="1115F120" w14:textId="77777777" w:rsidR="00992417" w:rsidRPr="00FE5432" w:rsidRDefault="00992417" w:rsidP="00FE543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5432">
              <w:rPr>
                <w:rFonts w:ascii="Times New Roman" w:hAnsi="Times New Roman" w:cs="Times New Roman"/>
              </w:rPr>
              <w:t>1</w:t>
            </w:r>
          </w:p>
        </w:tc>
      </w:tr>
      <w:tr w:rsidR="00992417" w:rsidRPr="00FE5432" w14:paraId="7C52C841" w14:textId="77777777" w:rsidTr="00C8457F">
        <w:tc>
          <w:tcPr>
            <w:tcW w:w="3005" w:type="dxa"/>
          </w:tcPr>
          <w:p w14:paraId="78F96A3F" w14:textId="5986DBF2" w:rsidR="00992417" w:rsidRPr="00FE5432" w:rsidRDefault="00992417" w:rsidP="00FE543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5432">
              <w:rPr>
                <w:rFonts w:ascii="Times New Roman" w:hAnsi="Times New Roman" w:cs="Times New Roman"/>
                <w:b/>
                <w:bCs/>
              </w:rPr>
              <w:t>Rejected</w:t>
            </w:r>
            <w:r w:rsidRPr="00FE5432">
              <w:rPr>
                <w:rFonts w:ascii="Times New Roman" w:hAnsi="Times New Roman" w:cs="Times New Roman"/>
              </w:rPr>
              <w:t xml:space="preserve"> </w:t>
            </w:r>
            <w:r w:rsidRPr="00FE5432">
              <w:rPr>
                <w:rFonts w:ascii="Times New Roman" w:hAnsi="Times New Roman" w:cs="Times New Roman"/>
                <w:b/>
                <w:bCs/>
              </w:rPr>
              <w:t>with large majority support</w:t>
            </w:r>
          </w:p>
        </w:tc>
        <w:tc>
          <w:tcPr>
            <w:tcW w:w="3005" w:type="dxa"/>
          </w:tcPr>
          <w:p w14:paraId="136DF4BE" w14:textId="77777777" w:rsidR="00992417" w:rsidRPr="00FE5432" w:rsidRDefault="00992417" w:rsidP="00FE543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5432">
              <w:rPr>
                <w:rFonts w:ascii="Times New Roman" w:hAnsi="Times New Roman" w:cs="Times New Roman"/>
              </w:rPr>
              <w:t>16</w:t>
            </w:r>
          </w:p>
        </w:tc>
      </w:tr>
    </w:tbl>
    <w:p w14:paraId="4E253197" w14:textId="42C2FAFC" w:rsidR="00992417" w:rsidRDefault="00992417" w:rsidP="00FE5432">
      <w:pPr>
        <w:spacing w:line="480" w:lineRule="auto"/>
        <w:ind w:firstLine="360"/>
        <w:rPr>
          <w:rFonts w:ascii="Times New Roman" w:hAnsi="Times New Roman" w:cs="Times New Roman"/>
        </w:rPr>
      </w:pPr>
    </w:p>
    <w:p w14:paraId="4D236D4A" w14:textId="77D3278F" w:rsidR="006B5C41" w:rsidRDefault="006B5C41" w:rsidP="00FE5432">
      <w:pPr>
        <w:spacing w:line="48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BE3E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Adapted </w:t>
      </w:r>
      <w:r w:rsidR="00594224">
        <w:rPr>
          <w:rFonts w:ascii="Times New Roman" w:hAnsi="Times New Roman" w:cs="Times New Roman"/>
        </w:rPr>
        <w:t xml:space="preserve">from </w:t>
      </w:r>
      <w:r w:rsidR="009012AD">
        <w:rPr>
          <w:rFonts w:ascii="Times New Roman" w:hAnsi="Times New Roman" w:cs="Times New Roman"/>
        </w:rPr>
        <w:t>Scottish Parliament, 2020.</w:t>
      </w:r>
    </w:p>
    <w:p w14:paraId="1365D359" w14:textId="77777777" w:rsidR="006B5C41" w:rsidRPr="00FE5432" w:rsidRDefault="006B5C41" w:rsidP="00FE5432">
      <w:pPr>
        <w:spacing w:line="480" w:lineRule="auto"/>
        <w:ind w:firstLine="360"/>
        <w:rPr>
          <w:rFonts w:ascii="Times New Roman" w:hAnsi="Times New Roman" w:cs="Times New Roman"/>
        </w:rPr>
      </w:pPr>
    </w:p>
    <w:p w14:paraId="1C0435C9" w14:textId="79D874CA" w:rsidR="008A7528" w:rsidRPr="00FE5432" w:rsidRDefault="00B763EA" w:rsidP="00FE5432">
      <w:pPr>
        <w:spacing w:line="480" w:lineRule="auto"/>
        <w:ind w:firstLine="720"/>
        <w:rPr>
          <w:rFonts w:ascii="Times New Roman" w:hAnsi="Times New Roman" w:cs="Times New Roman"/>
        </w:rPr>
      </w:pPr>
      <w:r w:rsidRPr="00FE5432">
        <w:rPr>
          <w:rFonts w:ascii="Times New Roman" w:hAnsi="Times New Roman" w:cs="Times New Roman"/>
        </w:rPr>
        <w:t>On</w:t>
      </w:r>
      <w:r w:rsidR="00992417" w:rsidRPr="00FE5432">
        <w:rPr>
          <w:rFonts w:ascii="Times New Roman" w:hAnsi="Times New Roman" w:cs="Times New Roman"/>
        </w:rPr>
        <w:t xml:space="preserve"> 16 occasions, the committee emphatically exert</w:t>
      </w:r>
      <w:r w:rsidR="008A7528" w:rsidRPr="00FE5432">
        <w:rPr>
          <w:rFonts w:ascii="Times New Roman" w:hAnsi="Times New Roman" w:cs="Times New Roman"/>
        </w:rPr>
        <w:t>ed</w:t>
      </w:r>
      <w:r w:rsidR="00992417" w:rsidRPr="00FE5432">
        <w:rPr>
          <w:rFonts w:ascii="Times New Roman" w:hAnsi="Times New Roman" w:cs="Times New Roman"/>
        </w:rPr>
        <w:t xml:space="preserve"> its influence in rejecting unpopular amendments from individual members. Such an influence </w:t>
      </w:r>
      <w:r w:rsidR="00797D16" w:rsidRPr="00FE5432">
        <w:rPr>
          <w:rFonts w:ascii="Times New Roman" w:hAnsi="Times New Roman" w:cs="Times New Roman"/>
        </w:rPr>
        <w:t>cannot</w:t>
      </w:r>
      <w:r w:rsidR="00992417" w:rsidRPr="00FE5432">
        <w:rPr>
          <w:rFonts w:ascii="Times New Roman" w:hAnsi="Times New Roman" w:cs="Times New Roman"/>
        </w:rPr>
        <w:t xml:space="preserve"> be mischaracterised as executive dominance. </w:t>
      </w:r>
    </w:p>
    <w:p w14:paraId="79997432" w14:textId="77777777" w:rsidR="008A7528" w:rsidRPr="00FE5432" w:rsidRDefault="008A7528" w:rsidP="00FE5432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64B96BF2" w14:textId="121EE320" w:rsidR="00992417" w:rsidRPr="00FE5432" w:rsidRDefault="008A7528" w:rsidP="00FE5432">
      <w:pPr>
        <w:spacing w:line="480" w:lineRule="auto"/>
        <w:ind w:firstLine="720"/>
        <w:rPr>
          <w:rFonts w:ascii="Times New Roman" w:hAnsi="Times New Roman" w:cs="Times New Roman"/>
        </w:rPr>
      </w:pPr>
      <w:r w:rsidRPr="00FE5432">
        <w:rPr>
          <w:rFonts w:ascii="Times New Roman" w:hAnsi="Times New Roman" w:cs="Times New Roman"/>
        </w:rPr>
        <w:t>I</w:t>
      </w:r>
      <w:r w:rsidR="00992417" w:rsidRPr="00FE5432">
        <w:rPr>
          <w:rFonts w:ascii="Times New Roman" w:hAnsi="Times New Roman" w:cs="Times New Roman"/>
        </w:rPr>
        <w:t xml:space="preserve">n terms of the strictly </w:t>
      </w:r>
      <w:r w:rsidR="00556719" w:rsidRPr="00FE5432">
        <w:rPr>
          <w:rFonts w:ascii="Times New Roman" w:hAnsi="Times New Roman" w:cs="Times New Roman"/>
        </w:rPr>
        <w:t>measurable</w:t>
      </w:r>
      <w:r w:rsidR="00992417" w:rsidRPr="00FE5432">
        <w:rPr>
          <w:rFonts w:ascii="Times New Roman" w:hAnsi="Times New Roman" w:cs="Times New Roman"/>
        </w:rPr>
        <w:t>—power</w:t>
      </w:r>
      <w:r w:rsidR="000F33CF">
        <w:rPr>
          <w:rFonts w:ascii="Times New Roman" w:hAnsi="Times New Roman" w:cs="Times New Roman"/>
        </w:rPr>
        <w:t>s</w:t>
      </w:r>
      <w:r w:rsidR="00992417" w:rsidRPr="00FE5432">
        <w:rPr>
          <w:rFonts w:ascii="Times New Roman" w:hAnsi="Times New Roman" w:cs="Times New Roman"/>
        </w:rPr>
        <w:t xml:space="preserve"> to secure (or </w:t>
      </w:r>
      <w:r w:rsidR="00992417" w:rsidRPr="00FE5432">
        <w:rPr>
          <w:rFonts w:ascii="Times New Roman" w:hAnsi="Times New Roman" w:cs="Times New Roman"/>
          <w:i/>
          <w:iCs/>
        </w:rPr>
        <w:t>reject</w:t>
      </w:r>
      <w:r w:rsidR="00992417" w:rsidRPr="00FE5432">
        <w:rPr>
          <w:rFonts w:ascii="Times New Roman" w:hAnsi="Times New Roman" w:cs="Times New Roman"/>
        </w:rPr>
        <w:t xml:space="preserve">) amendments—both </w:t>
      </w:r>
      <w:r w:rsidR="00670B41" w:rsidRPr="00FE5432">
        <w:rPr>
          <w:rFonts w:ascii="Times New Roman" w:hAnsi="Times New Roman" w:cs="Times New Roman"/>
        </w:rPr>
        <w:t xml:space="preserve">committees </w:t>
      </w:r>
      <w:r w:rsidR="00992417" w:rsidRPr="00FE5432">
        <w:rPr>
          <w:rFonts w:ascii="Times New Roman" w:hAnsi="Times New Roman" w:cs="Times New Roman"/>
        </w:rPr>
        <w:t>are weak in</w:t>
      </w:r>
      <w:r w:rsidR="00670B41" w:rsidRPr="00FE5432">
        <w:rPr>
          <w:rFonts w:ascii="Times New Roman" w:hAnsi="Times New Roman" w:cs="Times New Roman"/>
        </w:rPr>
        <w:t xml:space="preserve"> securing </w:t>
      </w:r>
      <w:r w:rsidR="00992417" w:rsidRPr="00FE5432">
        <w:rPr>
          <w:rFonts w:ascii="Times New Roman" w:hAnsi="Times New Roman" w:cs="Times New Roman"/>
        </w:rPr>
        <w:t xml:space="preserve">positive </w:t>
      </w:r>
      <w:r w:rsidR="00670B41" w:rsidRPr="00FE5432">
        <w:rPr>
          <w:rFonts w:ascii="Times New Roman" w:hAnsi="Times New Roman" w:cs="Times New Roman"/>
        </w:rPr>
        <w:t>material</w:t>
      </w:r>
      <w:r w:rsidR="00992417" w:rsidRPr="00FE5432">
        <w:rPr>
          <w:rFonts w:ascii="Times New Roman" w:hAnsi="Times New Roman" w:cs="Times New Roman"/>
        </w:rPr>
        <w:t xml:space="preserve"> change (although government</w:t>
      </w:r>
      <w:r w:rsidR="00670B41" w:rsidRPr="00FE5432">
        <w:rPr>
          <w:rFonts w:ascii="Times New Roman" w:hAnsi="Times New Roman" w:cs="Times New Roman"/>
        </w:rPr>
        <w:t>-secured change</w:t>
      </w:r>
      <w:r w:rsidR="00992417" w:rsidRPr="00FE5432">
        <w:rPr>
          <w:rFonts w:ascii="Times New Roman" w:hAnsi="Times New Roman" w:cs="Times New Roman"/>
        </w:rPr>
        <w:t xml:space="preserve"> should not be over-exaggerated as it is likely t</w:t>
      </w:r>
      <w:r w:rsidR="00670B41" w:rsidRPr="00FE5432">
        <w:rPr>
          <w:rFonts w:ascii="Times New Roman" w:hAnsi="Times New Roman" w:cs="Times New Roman"/>
        </w:rPr>
        <w:t>ypographical</w:t>
      </w:r>
      <w:r w:rsidR="006828B2" w:rsidRPr="00FE5432">
        <w:rPr>
          <w:rFonts w:ascii="Times New Roman" w:hAnsi="Times New Roman" w:cs="Times New Roman"/>
        </w:rPr>
        <w:t>/</w:t>
      </w:r>
      <w:r w:rsidR="00992417" w:rsidRPr="00FE5432">
        <w:rPr>
          <w:rFonts w:ascii="Times New Roman" w:hAnsi="Times New Roman" w:cs="Times New Roman"/>
        </w:rPr>
        <w:t>clarificatory)</w:t>
      </w:r>
      <w:r w:rsidR="006A03C7" w:rsidRPr="00FE5432">
        <w:rPr>
          <w:rFonts w:ascii="Times New Roman" w:hAnsi="Times New Roman" w:cs="Times New Roman"/>
        </w:rPr>
        <w:t>.</w:t>
      </w:r>
      <w:r w:rsidR="00992417" w:rsidRPr="00FE5432">
        <w:rPr>
          <w:rFonts w:ascii="Times New Roman" w:hAnsi="Times New Roman" w:cs="Times New Roman"/>
        </w:rPr>
        <w:t xml:space="preserve"> </w:t>
      </w:r>
      <w:r w:rsidR="006A03C7" w:rsidRPr="00FE5432">
        <w:rPr>
          <w:rFonts w:ascii="Times New Roman" w:hAnsi="Times New Roman" w:cs="Times New Roman"/>
        </w:rPr>
        <w:t>However,</w:t>
      </w:r>
      <w:r w:rsidR="00992417" w:rsidRPr="00FE5432">
        <w:rPr>
          <w:rFonts w:ascii="Times New Roman" w:hAnsi="Times New Roman" w:cs="Times New Roman"/>
        </w:rPr>
        <w:t xml:space="preserve"> </w:t>
      </w:r>
      <w:r w:rsidR="00992417" w:rsidRPr="00FE5432">
        <w:rPr>
          <w:rFonts w:ascii="Times New Roman" w:hAnsi="Times New Roman" w:cs="Times New Roman"/>
        </w:rPr>
        <w:lastRenderedPageBreak/>
        <w:t>the Scottish committee appear</w:t>
      </w:r>
      <w:r w:rsidR="00A60BC1" w:rsidRPr="00FE5432">
        <w:rPr>
          <w:rFonts w:ascii="Times New Roman" w:hAnsi="Times New Roman" w:cs="Times New Roman"/>
        </w:rPr>
        <w:t>s</w:t>
      </w:r>
      <w:r w:rsidR="00992417" w:rsidRPr="00FE5432">
        <w:rPr>
          <w:rFonts w:ascii="Times New Roman" w:hAnsi="Times New Roman" w:cs="Times New Roman"/>
        </w:rPr>
        <w:t xml:space="preserve"> stronger </w:t>
      </w:r>
      <w:r w:rsidRPr="00FE5432">
        <w:rPr>
          <w:rFonts w:ascii="Times New Roman" w:hAnsi="Times New Roman" w:cs="Times New Roman"/>
        </w:rPr>
        <w:t>in</w:t>
      </w:r>
      <w:r w:rsidR="001964BA">
        <w:rPr>
          <w:rFonts w:ascii="Times New Roman" w:hAnsi="Times New Roman" w:cs="Times New Roman"/>
        </w:rPr>
        <w:t xml:space="preserve"> </w:t>
      </w:r>
      <w:r w:rsidR="006B3DDD" w:rsidRPr="00FE5432">
        <w:rPr>
          <w:rFonts w:ascii="Times New Roman" w:hAnsi="Times New Roman" w:cs="Times New Roman"/>
        </w:rPr>
        <w:t>exert</w:t>
      </w:r>
      <w:r w:rsidR="001964BA">
        <w:rPr>
          <w:rFonts w:ascii="Times New Roman" w:hAnsi="Times New Roman" w:cs="Times New Roman"/>
        </w:rPr>
        <w:t>ing</w:t>
      </w:r>
      <w:r w:rsidR="006B3DDD" w:rsidRPr="00FE5432">
        <w:rPr>
          <w:rFonts w:ascii="Times New Roman" w:hAnsi="Times New Roman" w:cs="Times New Roman"/>
        </w:rPr>
        <w:t xml:space="preserve"> </w:t>
      </w:r>
      <w:r w:rsidRPr="00FE5432">
        <w:rPr>
          <w:rFonts w:ascii="Times New Roman" w:hAnsi="Times New Roman" w:cs="Times New Roman"/>
        </w:rPr>
        <w:t xml:space="preserve">influence in </w:t>
      </w:r>
      <w:r w:rsidR="00992417" w:rsidRPr="00FE5432">
        <w:rPr>
          <w:rFonts w:ascii="Times New Roman" w:hAnsi="Times New Roman" w:cs="Times New Roman"/>
        </w:rPr>
        <w:t>reject</w:t>
      </w:r>
      <w:r w:rsidR="006B3DDD" w:rsidRPr="00FE5432">
        <w:rPr>
          <w:rFonts w:ascii="Times New Roman" w:hAnsi="Times New Roman" w:cs="Times New Roman"/>
        </w:rPr>
        <w:t>ing</w:t>
      </w:r>
      <w:r w:rsidR="00992417" w:rsidRPr="00FE5432">
        <w:rPr>
          <w:rFonts w:ascii="Times New Roman" w:hAnsi="Times New Roman" w:cs="Times New Roman"/>
        </w:rPr>
        <w:t xml:space="preserve"> amendments</w:t>
      </w:r>
      <w:r w:rsidR="006B3DDD" w:rsidRPr="00FE5432">
        <w:rPr>
          <w:rFonts w:ascii="Times New Roman" w:hAnsi="Times New Roman" w:cs="Times New Roman"/>
        </w:rPr>
        <w:t xml:space="preserve"> by majority</w:t>
      </w:r>
      <w:r w:rsidRPr="00FE5432">
        <w:rPr>
          <w:rFonts w:ascii="Times New Roman" w:hAnsi="Times New Roman" w:cs="Times New Roman"/>
        </w:rPr>
        <w:t>.</w:t>
      </w:r>
    </w:p>
    <w:p w14:paraId="7068C353" w14:textId="77777777" w:rsidR="004E394E" w:rsidRPr="00FE5432" w:rsidRDefault="004E394E" w:rsidP="00FE5432">
      <w:pPr>
        <w:spacing w:line="480" w:lineRule="auto"/>
        <w:rPr>
          <w:rFonts w:ascii="Times New Roman" w:hAnsi="Times New Roman" w:cs="Times New Roman"/>
        </w:rPr>
      </w:pPr>
    </w:p>
    <w:p w14:paraId="65A5B1D6" w14:textId="11A13DDF" w:rsidR="00687762" w:rsidRPr="00FE5432" w:rsidRDefault="005971A9" w:rsidP="00FE5432">
      <w:pPr>
        <w:spacing w:line="480" w:lineRule="auto"/>
        <w:rPr>
          <w:rFonts w:ascii="Times New Roman" w:hAnsi="Times New Roman" w:cs="Times New Roman"/>
          <w:b/>
          <w:bCs/>
        </w:rPr>
      </w:pPr>
      <w:r w:rsidRPr="00FE5432">
        <w:rPr>
          <w:rFonts w:ascii="Times New Roman" w:hAnsi="Times New Roman" w:cs="Times New Roman"/>
          <w:b/>
          <w:bCs/>
        </w:rPr>
        <w:t>Comparative analysis of</w:t>
      </w:r>
      <w:r w:rsidR="00687762" w:rsidRPr="00FE5432">
        <w:rPr>
          <w:rFonts w:ascii="Times New Roman" w:hAnsi="Times New Roman" w:cs="Times New Roman"/>
          <w:b/>
          <w:bCs/>
        </w:rPr>
        <w:t xml:space="preserve"> </w:t>
      </w:r>
      <w:r w:rsidRPr="00FE5432">
        <w:rPr>
          <w:rFonts w:ascii="Times New Roman" w:hAnsi="Times New Roman" w:cs="Times New Roman"/>
          <w:b/>
          <w:bCs/>
        </w:rPr>
        <w:t>assurances</w:t>
      </w:r>
    </w:p>
    <w:p w14:paraId="37843ACA" w14:textId="66D01CB0" w:rsidR="003B59D9" w:rsidRPr="00FE5432" w:rsidRDefault="003B59D9" w:rsidP="00FE5432">
      <w:pPr>
        <w:spacing w:line="480" w:lineRule="auto"/>
        <w:rPr>
          <w:rFonts w:ascii="Times New Roman" w:hAnsi="Times New Roman" w:cs="Times New Roman"/>
          <w:i/>
          <w:iCs/>
        </w:rPr>
      </w:pPr>
    </w:p>
    <w:p w14:paraId="7E3B6119" w14:textId="7505A566" w:rsidR="00F41370" w:rsidRPr="00FE5432" w:rsidRDefault="003B59D9" w:rsidP="00FE5432">
      <w:pPr>
        <w:spacing w:line="480" w:lineRule="auto"/>
        <w:ind w:firstLine="720"/>
        <w:rPr>
          <w:rFonts w:ascii="Times New Roman" w:hAnsi="Times New Roman" w:cs="Times New Roman"/>
        </w:rPr>
      </w:pPr>
      <w:r w:rsidRPr="00FE5432">
        <w:rPr>
          <w:rFonts w:ascii="Times New Roman" w:hAnsi="Times New Roman" w:cs="Times New Roman"/>
        </w:rPr>
        <w:t xml:space="preserve">Simply considering </w:t>
      </w:r>
      <w:r w:rsidR="00254CEE" w:rsidRPr="00FE5432">
        <w:rPr>
          <w:rFonts w:ascii="Times New Roman" w:hAnsi="Times New Roman" w:cs="Times New Roman"/>
        </w:rPr>
        <w:t>material</w:t>
      </w:r>
      <w:r w:rsidRPr="00FE5432">
        <w:rPr>
          <w:rFonts w:ascii="Times New Roman" w:hAnsi="Times New Roman" w:cs="Times New Roman"/>
        </w:rPr>
        <w:t xml:space="preserve"> changes obscures the </w:t>
      </w:r>
      <w:r w:rsidR="000B0500" w:rsidRPr="00FE5432">
        <w:rPr>
          <w:rFonts w:ascii="Times New Roman" w:hAnsi="Times New Roman" w:cs="Times New Roman"/>
        </w:rPr>
        <w:t xml:space="preserve">ministerial </w:t>
      </w:r>
      <w:r w:rsidRPr="00FE5432">
        <w:rPr>
          <w:rFonts w:ascii="Times New Roman" w:hAnsi="Times New Roman" w:cs="Times New Roman"/>
        </w:rPr>
        <w:t>assurances</w:t>
      </w:r>
      <w:r w:rsidR="000B0500" w:rsidRPr="00FE5432">
        <w:rPr>
          <w:rFonts w:ascii="Times New Roman" w:hAnsi="Times New Roman" w:cs="Times New Roman"/>
        </w:rPr>
        <w:t xml:space="preserve"> </w:t>
      </w:r>
      <w:r w:rsidRPr="00FE5432">
        <w:rPr>
          <w:rFonts w:ascii="Times New Roman" w:hAnsi="Times New Roman" w:cs="Times New Roman"/>
        </w:rPr>
        <w:t xml:space="preserve">given in committee (often </w:t>
      </w:r>
      <w:r w:rsidR="00DC6C4F" w:rsidRPr="00FE5432">
        <w:rPr>
          <w:rFonts w:ascii="Times New Roman" w:hAnsi="Times New Roman" w:cs="Times New Roman"/>
        </w:rPr>
        <w:t>secured by</w:t>
      </w:r>
      <w:r w:rsidRPr="00FE5432">
        <w:rPr>
          <w:rFonts w:ascii="Times New Roman" w:hAnsi="Times New Roman" w:cs="Times New Roman"/>
        </w:rPr>
        <w:t xml:space="preserve"> ‘unsuccessful’</w:t>
      </w:r>
      <w:r w:rsidR="00DC6C4F" w:rsidRPr="00FE5432">
        <w:rPr>
          <w:rFonts w:ascii="Times New Roman" w:hAnsi="Times New Roman" w:cs="Times New Roman"/>
        </w:rPr>
        <w:t>/</w:t>
      </w:r>
      <w:r w:rsidR="00C46BD8" w:rsidRPr="00FE5432">
        <w:rPr>
          <w:rFonts w:ascii="Times New Roman" w:hAnsi="Times New Roman" w:cs="Times New Roman"/>
        </w:rPr>
        <w:t xml:space="preserve">withdrawn </w:t>
      </w:r>
      <w:r w:rsidRPr="00FE5432">
        <w:rPr>
          <w:rFonts w:ascii="Times New Roman" w:hAnsi="Times New Roman" w:cs="Times New Roman"/>
        </w:rPr>
        <w:t xml:space="preserve">amendments). </w:t>
      </w:r>
      <w:r w:rsidR="00F41370" w:rsidRPr="00FE5432">
        <w:rPr>
          <w:rFonts w:ascii="Times New Roman" w:hAnsi="Times New Roman" w:cs="Times New Roman"/>
        </w:rPr>
        <w:t xml:space="preserve">The Deputy Principal Clerk </w:t>
      </w:r>
      <w:r w:rsidR="000B0500" w:rsidRPr="00FE5432">
        <w:rPr>
          <w:rFonts w:ascii="Times New Roman" w:hAnsi="Times New Roman" w:cs="Times New Roman"/>
        </w:rPr>
        <w:t>(</w:t>
      </w:r>
      <w:r w:rsidR="002D217A">
        <w:rPr>
          <w:rFonts w:ascii="Times New Roman" w:hAnsi="Times New Roman" w:cs="Times New Roman"/>
        </w:rPr>
        <w:t xml:space="preserve">who </w:t>
      </w:r>
      <w:r w:rsidR="00F41370" w:rsidRPr="00FE5432">
        <w:rPr>
          <w:rFonts w:ascii="Times New Roman" w:hAnsi="Times New Roman" w:cs="Times New Roman"/>
        </w:rPr>
        <w:t>call</w:t>
      </w:r>
      <w:r w:rsidR="002D217A">
        <w:rPr>
          <w:rFonts w:ascii="Times New Roman" w:hAnsi="Times New Roman" w:cs="Times New Roman"/>
        </w:rPr>
        <w:t>ed</w:t>
      </w:r>
      <w:r w:rsidR="00F41370" w:rsidRPr="00FE5432">
        <w:rPr>
          <w:rFonts w:ascii="Times New Roman" w:hAnsi="Times New Roman" w:cs="Times New Roman"/>
        </w:rPr>
        <w:t xml:space="preserve"> PBCs ‘political theatre’</w:t>
      </w:r>
      <w:r w:rsidR="000B0500" w:rsidRPr="00FE5432">
        <w:rPr>
          <w:rFonts w:ascii="Times New Roman" w:hAnsi="Times New Roman" w:cs="Times New Roman"/>
        </w:rPr>
        <w:t>)</w:t>
      </w:r>
      <w:r w:rsidR="00F41370" w:rsidRPr="00FE5432">
        <w:rPr>
          <w:rFonts w:ascii="Times New Roman" w:hAnsi="Times New Roman" w:cs="Times New Roman"/>
        </w:rPr>
        <w:t xml:space="preserve"> also emphasised that</w:t>
      </w:r>
      <w:r w:rsidR="008838D0" w:rsidRPr="00FE5432">
        <w:rPr>
          <w:rFonts w:ascii="Times New Roman" w:hAnsi="Times New Roman" w:cs="Times New Roman"/>
        </w:rPr>
        <w:t xml:space="preserve"> </w:t>
      </w:r>
      <w:r w:rsidR="00DE3ED8">
        <w:rPr>
          <w:rFonts w:ascii="Times New Roman" w:hAnsi="Times New Roman" w:cs="Times New Roman"/>
        </w:rPr>
        <w:t>influence</w:t>
      </w:r>
      <w:r w:rsidR="00F41370" w:rsidRPr="00FE5432">
        <w:rPr>
          <w:rFonts w:ascii="Times New Roman" w:hAnsi="Times New Roman" w:cs="Times New Roman"/>
        </w:rPr>
        <w:t xml:space="preserve"> is exerted through ‘</w:t>
      </w:r>
      <w:r w:rsidR="00F41370" w:rsidRPr="00FE5432">
        <w:rPr>
          <w:rFonts w:ascii="Times New Roman" w:hAnsi="Times New Roman" w:cs="Times New Roman"/>
          <w:i/>
          <w:iCs/>
        </w:rPr>
        <w:t>informal</w:t>
      </w:r>
      <w:r w:rsidR="00F41370" w:rsidRPr="00FE5432">
        <w:rPr>
          <w:rFonts w:ascii="Times New Roman" w:hAnsi="Times New Roman" w:cs="Times New Roman"/>
        </w:rPr>
        <w:t xml:space="preserve"> levers and pressures’</w:t>
      </w:r>
      <w:r w:rsidR="00A74A66">
        <w:rPr>
          <w:rFonts w:ascii="Times New Roman" w:hAnsi="Times New Roman" w:cs="Times New Roman"/>
        </w:rPr>
        <w:t xml:space="preserve"> (Speaker (A), 2022)</w:t>
      </w:r>
      <w:r w:rsidR="008838D0" w:rsidRPr="00FE5432">
        <w:rPr>
          <w:rFonts w:ascii="Times New Roman" w:hAnsi="Times New Roman" w:cs="Times New Roman"/>
        </w:rPr>
        <w:t>.</w:t>
      </w:r>
    </w:p>
    <w:p w14:paraId="2A32D18A" w14:textId="77777777" w:rsidR="00F41370" w:rsidRPr="00FE5432" w:rsidRDefault="00F41370" w:rsidP="00FE5432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5D9674B1" w14:textId="38443A7D" w:rsidR="00A434D5" w:rsidRPr="00FE5432" w:rsidRDefault="00983FAA" w:rsidP="00FE5432">
      <w:pPr>
        <w:spacing w:line="480" w:lineRule="auto"/>
        <w:ind w:firstLine="720"/>
        <w:rPr>
          <w:rFonts w:ascii="Times New Roman" w:eastAsia="Times New Roman" w:hAnsi="Times New Roman" w:cs="Times New Roman"/>
          <w:lang w:eastAsia="en-GB"/>
        </w:rPr>
      </w:pPr>
      <w:r w:rsidRPr="00FE5432">
        <w:rPr>
          <w:rFonts w:ascii="Times New Roman" w:hAnsi="Times New Roman" w:cs="Times New Roman"/>
        </w:rPr>
        <w:t xml:space="preserve">Considering </w:t>
      </w:r>
      <w:r w:rsidR="00F11B85" w:rsidRPr="00FE5432">
        <w:rPr>
          <w:rFonts w:ascii="Times New Roman" w:hAnsi="Times New Roman" w:cs="Times New Roman"/>
        </w:rPr>
        <w:t>Westminster</w:t>
      </w:r>
      <w:r w:rsidRPr="00FE5432">
        <w:rPr>
          <w:rFonts w:ascii="Times New Roman" w:hAnsi="Times New Roman" w:cs="Times New Roman"/>
        </w:rPr>
        <w:t xml:space="preserve"> firstly, </w:t>
      </w:r>
      <w:r w:rsidR="00307520" w:rsidRPr="00FE5432">
        <w:rPr>
          <w:rFonts w:ascii="Times New Roman" w:hAnsi="Times New Roman" w:cs="Times New Roman"/>
        </w:rPr>
        <w:t xml:space="preserve">ministers </w:t>
      </w:r>
      <w:r w:rsidR="002C304D" w:rsidRPr="00FE5432">
        <w:rPr>
          <w:rFonts w:ascii="Times New Roman" w:hAnsi="Times New Roman" w:cs="Times New Roman"/>
        </w:rPr>
        <w:t>report</w:t>
      </w:r>
      <w:r w:rsidR="00307520" w:rsidRPr="00FE5432">
        <w:rPr>
          <w:rFonts w:ascii="Times New Roman" w:hAnsi="Times New Roman" w:cs="Times New Roman"/>
        </w:rPr>
        <w:t xml:space="preserve"> that </w:t>
      </w:r>
      <w:r w:rsidR="002C304D" w:rsidRPr="00FE5432">
        <w:rPr>
          <w:rFonts w:ascii="Times New Roman" w:hAnsi="Times New Roman" w:cs="Times New Roman"/>
        </w:rPr>
        <w:t xml:space="preserve">their </w:t>
      </w:r>
      <w:r w:rsidR="00307520" w:rsidRPr="00FE5432">
        <w:rPr>
          <w:rFonts w:ascii="Times New Roman" w:hAnsi="Times New Roman" w:cs="Times New Roman"/>
        </w:rPr>
        <w:t xml:space="preserve">amendments at </w:t>
      </w:r>
      <w:r w:rsidR="002C304D" w:rsidRPr="00FE5432">
        <w:rPr>
          <w:rFonts w:ascii="Times New Roman" w:hAnsi="Times New Roman" w:cs="Times New Roman"/>
        </w:rPr>
        <w:t xml:space="preserve">latter </w:t>
      </w:r>
      <w:r w:rsidR="00307520" w:rsidRPr="00FE5432">
        <w:rPr>
          <w:rFonts w:ascii="Times New Roman" w:hAnsi="Times New Roman" w:cs="Times New Roman"/>
        </w:rPr>
        <w:t>stage</w:t>
      </w:r>
      <w:r w:rsidR="002C304D" w:rsidRPr="00FE5432">
        <w:rPr>
          <w:rFonts w:ascii="Times New Roman" w:hAnsi="Times New Roman" w:cs="Times New Roman"/>
        </w:rPr>
        <w:t>s</w:t>
      </w:r>
      <w:r w:rsidR="00307520" w:rsidRPr="00FE5432">
        <w:rPr>
          <w:rFonts w:ascii="Times New Roman" w:hAnsi="Times New Roman" w:cs="Times New Roman"/>
        </w:rPr>
        <w:t xml:space="preserve"> originat</w:t>
      </w:r>
      <w:r w:rsidR="002C304D" w:rsidRPr="00FE5432">
        <w:rPr>
          <w:rFonts w:ascii="Times New Roman" w:hAnsi="Times New Roman" w:cs="Times New Roman"/>
        </w:rPr>
        <w:t>e</w:t>
      </w:r>
      <w:r w:rsidR="00307520" w:rsidRPr="00FE5432">
        <w:rPr>
          <w:rFonts w:ascii="Times New Roman" w:hAnsi="Times New Roman" w:cs="Times New Roman"/>
        </w:rPr>
        <w:t xml:space="preserve"> from committee</w:t>
      </w:r>
      <w:r w:rsidR="002C304D" w:rsidRPr="00FE5432">
        <w:rPr>
          <w:rFonts w:ascii="Times New Roman" w:hAnsi="Times New Roman" w:cs="Times New Roman"/>
        </w:rPr>
        <w:t>s</w:t>
      </w:r>
      <w:r w:rsidR="00307520" w:rsidRPr="00FE5432">
        <w:rPr>
          <w:rFonts w:ascii="Times New Roman" w:hAnsi="Times New Roman" w:cs="Times New Roman"/>
        </w:rPr>
        <w:t xml:space="preserve"> </w:t>
      </w:r>
      <w:r w:rsidR="00835B23" w:rsidRPr="00FE5432">
        <w:rPr>
          <w:rFonts w:ascii="Times New Roman" w:hAnsi="Times New Roman" w:cs="Times New Roman"/>
        </w:rPr>
        <w:t>an</w:t>
      </w:r>
      <w:r w:rsidR="00307520" w:rsidRPr="00FE5432">
        <w:rPr>
          <w:rFonts w:ascii="Times New Roman" w:hAnsi="Times New Roman" w:cs="Times New Roman"/>
        </w:rPr>
        <w:t xml:space="preserve"> average</w:t>
      </w:r>
      <w:r w:rsidR="00835B23" w:rsidRPr="00FE5432">
        <w:rPr>
          <w:rFonts w:ascii="Times New Roman" w:hAnsi="Times New Roman" w:cs="Times New Roman"/>
        </w:rPr>
        <w:t xml:space="preserve"> of</w:t>
      </w:r>
      <w:r w:rsidR="00307520" w:rsidRPr="00FE5432">
        <w:rPr>
          <w:rFonts w:ascii="Times New Roman" w:hAnsi="Times New Roman" w:cs="Times New Roman"/>
        </w:rPr>
        <w:t xml:space="preserve"> </w:t>
      </w:r>
      <w:r w:rsidR="00A759BD">
        <w:rPr>
          <w:rFonts w:ascii="Times New Roman" w:hAnsi="Times New Roman" w:cs="Times New Roman"/>
        </w:rPr>
        <w:t>10</w:t>
      </w:r>
      <w:r w:rsidR="00307520" w:rsidRPr="00FE5432">
        <w:rPr>
          <w:rFonts w:ascii="Times New Roman" w:hAnsi="Times New Roman" w:cs="Times New Roman"/>
        </w:rPr>
        <w:t xml:space="preserve"> amendments per bill</w:t>
      </w:r>
      <w:r w:rsidR="007F3A28" w:rsidRPr="00FE5432">
        <w:rPr>
          <w:rFonts w:ascii="Times New Roman" w:hAnsi="Times New Roman" w:cs="Times New Roman"/>
        </w:rPr>
        <w:t xml:space="preserve"> </w:t>
      </w:r>
      <w:r w:rsidR="00307520" w:rsidRPr="00FE5432">
        <w:rPr>
          <w:rFonts w:ascii="Times New Roman" w:hAnsi="Times New Roman" w:cs="Times New Roman"/>
        </w:rPr>
        <w:t xml:space="preserve">(Thompson, 2013: </w:t>
      </w:r>
      <w:r w:rsidR="00E27D50" w:rsidRPr="00FE5432">
        <w:rPr>
          <w:rFonts w:ascii="Times New Roman" w:hAnsi="Times New Roman" w:cs="Times New Roman"/>
        </w:rPr>
        <w:t>471</w:t>
      </w:r>
      <w:r w:rsidR="00307520" w:rsidRPr="00FE5432">
        <w:rPr>
          <w:rFonts w:ascii="Times New Roman" w:hAnsi="Times New Roman" w:cs="Times New Roman"/>
        </w:rPr>
        <w:t>).</w:t>
      </w:r>
      <w:r w:rsidRPr="00FE5432">
        <w:rPr>
          <w:rFonts w:ascii="Times New Roman" w:hAnsi="Times New Roman" w:cs="Times New Roman"/>
        </w:rPr>
        <w:t xml:space="preserve"> </w:t>
      </w:r>
      <w:r w:rsidR="00A868E2" w:rsidRPr="00FE5432">
        <w:rPr>
          <w:rFonts w:ascii="Times New Roman" w:hAnsi="Times New Roman" w:cs="Times New Roman"/>
        </w:rPr>
        <w:t xml:space="preserve">Russell </w:t>
      </w:r>
      <w:r w:rsidR="00A868E2" w:rsidRPr="00FE5432">
        <w:rPr>
          <w:rFonts w:ascii="Times New Roman" w:hAnsi="Times New Roman" w:cs="Times New Roman"/>
          <w:i/>
          <w:iCs/>
        </w:rPr>
        <w:t>et al</w:t>
      </w:r>
      <w:r w:rsidR="00A868E2" w:rsidRPr="00FE5432">
        <w:rPr>
          <w:rFonts w:ascii="Times New Roman" w:hAnsi="Times New Roman" w:cs="Times New Roman"/>
        </w:rPr>
        <w:t xml:space="preserve"> </w:t>
      </w:r>
      <w:r w:rsidR="006932BF" w:rsidRPr="00FE5432">
        <w:rPr>
          <w:rFonts w:ascii="Times New Roman" w:hAnsi="Times New Roman" w:cs="Times New Roman"/>
        </w:rPr>
        <w:t>similarly report</w:t>
      </w:r>
      <w:r w:rsidR="00E20B24" w:rsidRPr="00FE5432">
        <w:rPr>
          <w:rFonts w:ascii="Times New Roman" w:hAnsi="Times New Roman" w:cs="Times New Roman"/>
        </w:rPr>
        <w:t xml:space="preserve"> </w:t>
      </w:r>
      <w:r w:rsidR="007F1AF6" w:rsidRPr="00FE5432">
        <w:rPr>
          <w:rFonts w:ascii="Times New Roman" w:hAnsi="Times New Roman" w:cs="Times New Roman"/>
        </w:rPr>
        <w:t xml:space="preserve">that </w:t>
      </w:r>
      <w:r w:rsidR="00A868E2" w:rsidRPr="00FE5432">
        <w:rPr>
          <w:rFonts w:ascii="Times New Roman" w:hAnsi="Times New Roman" w:cs="Times New Roman"/>
        </w:rPr>
        <w:t>41</w:t>
      </w:r>
      <w:r w:rsidR="006C3616" w:rsidRPr="00FE5432">
        <w:rPr>
          <w:rFonts w:ascii="Times New Roman" w:hAnsi="Times New Roman" w:cs="Times New Roman"/>
        </w:rPr>
        <w:t xml:space="preserve"> percent</w:t>
      </w:r>
      <w:r w:rsidR="007F1AF6" w:rsidRPr="00FE5432">
        <w:rPr>
          <w:rFonts w:ascii="Times New Roman" w:hAnsi="Times New Roman" w:cs="Times New Roman"/>
        </w:rPr>
        <w:t xml:space="preserve"> of successful government amendments</w:t>
      </w:r>
      <w:r w:rsidR="00A868E2" w:rsidRPr="00FE5432">
        <w:rPr>
          <w:rFonts w:ascii="Times New Roman" w:hAnsi="Times New Roman" w:cs="Times New Roman"/>
        </w:rPr>
        <w:t xml:space="preserve"> </w:t>
      </w:r>
      <w:r w:rsidR="007F1AF6" w:rsidRPr="00FE5432">
        <w:rPr>
          <w:rFonts w:ascii="Times New Roman" w:hAnsi="Times New Roman" w:cs="Times New Roman"/>
        </w:rPr>
        <w:t>were traceable</w:t>
      </w:r>
      <w:r w:rsidR="00A868E2" w:rsidRPr="00FE5432">
        <w:rPr>
          <w:rFonts w:ascii="Times New Roman" w:hAnsi="Times New Roman" w:cs="Times New Roman"/>
        </w:rPr>
        <w:t xml:space="preserve"> </w:t>
      </w:r>
      <w:r w:rsidR="007F1AF6" w:rsidRPr="00FE5432">
        <w:rPr>
          <w:rFonts w:ascii="Times New Roman" w:hAnsi="Times New Roman" w:cs="Times New Roman"/>
        </w:rPr>
        <w:t xml:space="preserve">back </w:t>
      </w:r>
      <w:r w:rsidR="00A868E2" w:rsidRPr="00FE5432">
        <w:rPr>
          <w:rFonts w:ascii="Times New Roman" w:hAnsi="Times New Roman" w:cs="Times New Roman"/>
        </w:rPr>
        <w:t xml:space="preserve">to parliamentary pressure </w:t>
      </w:r>
      <w:r w:rsidR="00CD296E" w:rsidRPr="00FE5432">
        <w:rPr>
          <w:rFonts w:ascii="Times New Roman" w:hAnsi="Times New Roman" w:cs="Times New Roman"/>
        </w:rPr>
        <w:t xml:space="preserve">(2016: 295). </w:t>
      </w:r>
      <w:r w:rsidR="007F3A28" w:rsidRPr="00FE5432">
        <w:rPr>
          <w:rFonts w:ascii="Times New Roman" w:hAnsi="Times New Roman" w:cs="Times New Roman"/>
        </w:rPr>
        <w:t>T</w:t>
      </w:r>
      <w:r w:rsidR="00F331C3" w:rsidRPr="00FE5432">
        <w:rPr>
          <w:rFonts w:ascii="Times New Roman" w:hAnsi="Times New Roman" w:cs="Times New Roman"/>
        </w:rPr>
        <w:t>he ‘</w:t>
      </w:r>
      <w:r w:rsidR="00A868E2" w:rsidRPr="00FE5432">
        <w:rPr>
          <w:rFonts w:ascii="Times New Roman" w:hAnsi="Times New Roman" w:cs="Times New Roman"/>
        </w:rPr>
        <w:t>commonest source</w:t>
      </w:r>
      <w:r w:rsidR="00F331C3" w:rsidRPr="00FE5432">
        <w:rPr>
          <w:rFonts w:ascii="Times New Roman" w:hAnsi="Times New Roman" w:cs="Times New Roman"/>
        </w:rPr>
        <w:t>’</w:t>
      </w:r>
      <w:r w:rsidR="00A868E2" w:rsidRPr="00FE5432">
        <w:rPr>
          <w:rFonts w:ascii="Times New Roman" w:hAnsi="Times New Roman" w:cs="Times New Roman"/>
        </w:rPr>
        <w:t xml:space="preserve"> of influence </w:t>
      </w:r>
      <w:r w:rsidR="00F331C3" w:rsidRPr="00FE5432">
        <w:rPr>
          <w:rFonts w:ascii="Times New Roman" w:hAnsi="Times New Roman" w:cs="Times New Roman"/>
        </w:rPr>
        <w:t xml:space="preserve">(51 percent) </w:t>
      </w:r>
      <w:r w:rsidR="00A868E2" w:rsidRPr="00FE5432">
        <w:rPr>
          <w:rFonts w:ascii="Times New Roman" w:hAnsi="Times New Roman" w:cs="Times New Roman"/>
        </w:rPr>
        <w:t>was a</w:t>
      </w:r>
      <w:r w:rsidR="00F331C3" w:rsidRPr="00FE5432">
        <w:rPr>
          <w:rFonts w:ascii="Times New Roman" w:hAnsi="Times New Roman" w:cs="Times New Roman"/>
        </w:rPr>
        <w:t xml:space="preserve"> </w:t>
      </w:r>
      <w:r w:rsidR="00D95CB9" w:rsidRPr="00FE5432">
        <w:rPr>
          <w:rFonts w:ascii="Times New Roman" w:hAnsi="Times New Roman" w:cs="Times New Roman"/>
        </w:rPr>
        <w:t>committee’s</w:t>
      </w:r>
      <w:r w:rsidR="00A868E2" w:rsidRPr="00FE5432">
        <w:rPr>
          <w:rFonts w:ascii="Times New Roman" w:hAnsi="Times New Roman" w:cs="Times New Roman"/>
        </w:rPr>
        <w:t xml:space="preserve"> non-</w:t>
      </w:r>
      <w:r w:rsidR="00F331C3" w:rsidRPr="00FE5432">
        <w:rPr>
          <w:rFonts w:ascii="Times New Roman" w:hAnsi="Times New Roman" w:cs="Times New Roman"/>
        </w:rPr>
        <w:t>executive</w:t>
      </w:r>
      <w:r w:rsidR="00A868E2" w:rsidRPr="00FE5432">
        <w:rPr>
          <w:rFonts w:ascii="Times New Roman" w:hAnsi="Times New Roman" w:cs="Times New Roman"/>
        </w:rPr>
        <w:t xml:space="preserve"> amendment (</w:t>
      </w:r>
      <w:r w:rsidR="00A874A0">
        <w:rPr>
          <w:rFonts w:ascii="Times New Roman" w:hAnsi="Times New Roman" w:cs="Times New Roman"/>
        </w:rPr>
        <w:t>2</w:t>
      </w:r>
      <w:r w:rsidR="00A868E2" w:rsidRPr="00FE5432">
        <w:rPr>
          <w:rFonts w:ascii="Times New Roman" w:hAnsi="Times New Roman" w:cs="Times New Roman"/>
        </w:rPr>
        <w:t>96)</w:t>
      </w:r>
      <w:r w:rsidR="003B59D9" w:rsidRPr="00FE5432">
        <w:rPr>
          <w:rFonts w:ascii="Times New Roman" w:hAnsi="Times New Roman" w:cs="Times New Roman"/>
        </w:rPr>
        <w:t>.</w:t>
      </w:r>
      <w:r w:rsidR="002F4F06" w:rsidRPr="00FE5432">
        <w:rPr>
          <w:rFonts w:ascii="Times New Roman" w:hAnsi="Times New Roman" w:cs="Times New Roman"/>
        </w:rPr>
        <w:t xml:space="preserve"> </w:t>
      </w:r>
      <w:r w:rsidR="00C300F3" w:rsidRPr="00FE5432">
        <w:rPr>
          <w:rFonts w:ascii="Times New Roman" w:hAnsi="Times New Roman" w:cs="Times New Roman"/>
        </w:rPr>
        <w:t>At</w:t>
      </w:r>
      <w:r w:rsidR="00A434D5" w:rsidRPr="00FE5432">
        <w:rPr>
          <w:rFonts w:ascii="Times New Roman" w:hAnsi="Times New Roman" w:cs="Times New Roman"/>
        </w:rPr>
        <w:t xml:space="preserve"> </w:t>
      </w:r>
      <w:r w:rsidR="00C300F3" w:rsidRPr="00FE5432">
        <w:rPr>
          <w:rFonts w:ascii="Times New Roman" w:hAnsi="Times New Roman" w:cs="Times New Roman"/>
        </w:rPr>
        <w:t>Holyrood</w:t>
      </w:r>
      <w:r w:rsidR="00A434D5" w:rsidRPr="00FE5432">
        <w:rPr>
          <w:rFonts w:ascii="Times New Roman" w:hAnsi="Times New Roman" w:cs="Times New Roman"/>
        </w:rPr>
        <w:t xml:space="preserve"> too,</w:t>
      </w:r>
      <w:r w:rsidR="00E345D3" w:rsidRPr="00FE5432">
        <w:rPr>
          <w:rFonts w:ascii="Times New Roman" w:hAnsi="Times New Roman" w:cs="Times New Roman"/>
        </w:rPr>
        <w:t xml:space="preserve"> </w:t>
      </w:r>
      <w:r w:rsidR="00124D29" w:rsidRPr="00FE5432">
        <w:rPr>
          <w:rFonts w:ascii="Times New Roman" w:hAnsi="Times New Roman" w:cs="Times New Roman"/>
        </w:rPr>
        <w:t xml:space="preserve">25 percent of </w:t>
      </w:r>
      <w:r w:rsidR="00A434D5" w:rsidRPr="00FE5432">
        <w:rPr>
          <w:rFonts w:ascii="Times New Roman" w:hAnsi="Times New Roman" w:cs="Times New Roman"/>
        </w:rPr>
        <w:t>successful substantive ministerial amendments</w:t>
      </w:r>
      <w:r w:rsidR="00124D29" w:rsidRPr="00FE5432">
        <w:rPr>
          <w:rFonts w:ascii="Times New Roman" w:hAnsi="Times New Roman" w:cs="Times New Roman"/>
        </w:rPr>
        <w:t xml:space="preserve"> </w:t>
      </w:r>
      <w:r w:rsidR="00A434D5" w:rsidRPr="00FE5432">
        <w:rPr>
          <w:rFonts w:ascii="Times New Roman" w:hAnsi="Times New Roman" w:cs="Times New Roman"/>
        </w:rPr>
        <w:t xml:space="preserve">addressed </w:t>
      </w:r>
      <w:r w:rsidR="00124D29" w:rsidRPr="00FE5432">
        <w:rPr>
          <w:rFonts w:ascii="Times New Roman" w:hAnsi="Times New Roman" w:cs="Times New Roman"/>
        </w:rPr>
        <w:t>issues</w:t>
      </w:r>
      <w:r w:rsidR="00A434D5" w:rsidRPr="00FE5432">
        <w:rPr>
          <w:rFonts w:ascii="Times New Roman" w:hAnsi="Times New Roman" w:cs="Times New Roman"/>
        </w:rPr>
        <w:t xml:space="preserve"> </w:t>
      </w:r>
      <w:r w:rsidR="00124D29" w:rsidRPr="00FE5432">
        <w:rPr>
          <w:rFonts w:ascii="Times New Roman" w:hAnsi="Times New Roman" w:cs="Times New Roman"/>
        </w:rPr>
        <w:t>originally</w:t>
      </w:r>
      <w:r w:rsidR="00A434D5" w:rsidRPr="00FE5432">
        <w:rPr>
          <w:rFonts w:ascii="Times New Roman" w:hAnsi="Times New Roman" w:cs="Times New Roman"/>
        </w:rPr>
        <w:t xml:space="preserve"> raised </w:t>
      </w:r>
      <w:r w:rsidR="00124D29" w:rsidRPr="00FE5432">
        <w:rPr>
          <w:rFonts w:ascii="Times New Roman" w:hAnsi="Times New Roman" w:cs="Times New Roman"/>
        </w:rPr>
        <w:t>by backbenchers</w:t>
      </w:r>
      <w:r w:rsidR="00A434D5" w:rsidRPr="00FE5432">
        <w:rPr>
          <w:rFonts w:ascii="Times New Roman" w:hAnsi="Times New Roman" w:cs="Times New Roman"/>
        </w:rPr>
        <w:t xml:space="preserve"> (Shephard and Cairney, 2005: 313). </w:t>
      </w:r>
      <w:r w:rsidR="00BB1CA9">
        <w:rPr>
          <w:rFonts w:ascii="Times New Roman" w:hAnsi="Times New Roman" w:cs="Times New Roman"/>
        </w:rPr>
        <w:t>Around 66 percent</w:t>
      </w:r>
      <w:r w:rsidR="00A434D5" w:rsidRPr="00FE5432">
        <w:rPr>
          <w:rFonts w:ascii="Times New Roman" w:hAnsi="Times New Roman" w:cs="Times New Roman"/>
        </w:rPr>
        <w:t xml:space="preserve"> of those amendments </w:t>
      </w:r>
      <w:r w:rsidR="00E345D3" w:rsidRPr="00FE5432">
        <w:rPr>
          <w:rFonts w:ascii="Times New Roman" w:hAnsi="Times New Roman" w:cs="Times New Roman"/>
        </w:rPr>
        <w:t>were</w:t>
      </w:r>
      <w:r w:rsidR="00A434D5" w:rsidRPr="00FE5432">
        <w:rPr>
          <w:rFonts w:ascii="Times New Roman" w:hAnsi="Times New Roman" w:cs="Times New Roman"/>
        </w:rPr>
        <w:t xml:space="preserve"> </w:t>
      </w:r>
      <w:r w:rsidR="00124D29" w:rsidRPr="00FE5432">
        <w:rPr>
          <w:rFonts w:ascii="Times New Roman" w:hAnsi="Times New Roman" w:cs="Times New Roman"/>
        </w:rPr>
        <w:t>linked</w:t>
      </w:r>
      <w:r w:rsidR="00A434D5" w:rsidRPr="00FE5432">
        <w:rPr>
          <w:rFonts w:ascii="Times New Roman" w:hAnsi="Times New Roman" w:cs="Times New Roman"/>
        </w:rPr>
        <w:t xml:space="preserve"> specifically to committee (314). </w:t>
      </w:r>
      <w:r w:rsidR="00EF12CC" w:rsidRPr="00FE5432">
        <w:rPr>
          <w:rFonts w:ascii="Times New Roman" w:hAnsi="Times New Roman" w:cs="Times New Roman"/>
        </w:rPr>
        <w:t>T</w:t>
      </w:r>
      <w:r w:rsidR="00A434D5" w:rsidRPr="00FE5432">
        <w:rPr>
          <w:rFonts w:ascii="Times New Roman" w:hAnsi="Times New Roman" w:cs="Times New Roman"/>
        </w:rPr>
        <w:t>his suggests that most MSP</w:t>
      </w:r>
      <w:r w:rsidR="00337CBC">
        <w:rPr>
          <w:rFonts w:ascii="Times New Roman" w:hAnsi="Times New Roman" w:cs="Times New Roman"/>
        </w:rPr>
        <w:t>s’</w:t>
      </w:r>
      <w:r w:rsidR="00A434D5" w:rsidRPr="00FE5432">
        <w:rPr>
          <w:rFonts w:ascii="Times New Roman" w:hAnsi="Times New Roman" w:cs="Times New Roman"/>
        </w:rPr>
        <w:t xml:space="preserve"> amendments in committee are not </w:t>
      </w:r>
      <w:r w:rsidR="00EF12CC" w:rsidRPr="00FE5432">
        <w:rPr>
          <w:rFonts w:ascii="Times New Roman" w:hAnsi="Times New Roman" w:cs="Times New Roman"/>
        </w:rPr>
        <w:t>intended</w:t>
      </w:r>
      <w:r w:rsidR="00A434D5" w:rsidRPr="00FE5432">
        <w:rPr>
          <w:rFonts w:ascii="Times New Roman" w:hAnsi="Times New Roman" w:cs="Times New Roman"/>
        </w:rPr>
        <w:t xml:space="preserve"> to be accepted</w:t>
      </w:r>
      <w:r w:rsidR="00EF12CC" w:rsidRPr="00FE5432">
        <w:rPr>
          <w:rFonts w:ascii="Times New Roman" w:hAnsi="Times New Roman" w:cs="Times New Roman"/>
        </w:rPr>
        <w:t>: d</w:t>
      </w:r>
      <w:r w:rsidR="00A434D5" w:rsidRPr="00FE5432">
        <w:rPr>
          <w:rFonts w:ascii="Times New Roman" w:hAnsi="Times New Roman" w:cs="Times New Roman"/>
        </w:rPr>
        <w:t>isaggregating the number of non-executive amendments that are unsuccessful, reveals that 56</w:t>
      </w:r>
      <w:r w:rsidR="00EF12CC" w:rsidRPr="00FE5432">
        <w:rPr>
          <w:rFonts w:ascii="Times New Roman" w:hAnsi="Times New Roman" w:cs="Times New Roman"/>
        </w:rPr>
        <w:t xml:space="preserve"> percent</w:t>
      </w:r>
      <w:r w:rsidR="00A434D5" w:rsidRPr="00FE5432">
        <w:rPr>
          <w:rFonts w:ascii="Times New Roman" w:hAnsi="Times New Roman" w:cs="Times New Roman"/>
        </w:rPr>
        <w:t xml:space="preserve"> were withdrawn, rather than rejected</w:t>
      </w:r>
      <w:r w:rsidR="00EF12CC" w:rsidRPr="00FE5432">
        <w:rPr>
          <w:rFonts w:ascii="Times New Roman" w:hAnsi="Times New Roman" w:cs="Times New Roman"/>
        </w:rPr>
        <w:t>, in exchange for government assurance</w:t>
      </w:r>
      <w:r w:rsidR="000E7931" w:rsidRPr="00FE5432">
        <w:rPr>
          <w:rFonts w:ascii="Times New Roman" w:hAnsi="Times New Roman" w:cs="Times New Roman"/>
        </w:rPr>
        <w:t>s</w:t>
      </w:r>
      <w:r w:rsidR="00EF12CC" w:rsidRPr="00FE5432">
        <w:rPr>
          <w:rFonts w:ascii="Times New Roman" w:hAnsi="Times New Roman" w:cs="Times New Roman"/>
        </w:rPr>
        <w:t xml:space="preserve"> </w:t>
      </w:r>
      <w:r w:rsidR="00A434D5" w:rsidRPr="00FE5432">
        <w:rPr>
          <w:rFonts w:ascii="Times New Roman" w:hAnsi="Times New Roman" w:cs="Times New Roman"/>
        </w:rPr>
        <w:t>(315</w:t>
      </w:r>
      <w:r w:rsidR="00EF12CC" w:rsidRPr="00FE5432">
        <w:rPr>
          <w:rFonts w:ascii="Times New Roman" w:hAnsi="Times New Roman" w:cs="Times New Roman"/>
        </w:rPr>
        <w:t xml:space="preserve">; Cairney, 2006: </w:t>
      </w:r>
      <w:r w:rsidR="00EF12CC" w:rsidRPr="00FE5432">
        <w:rPr>
          <w:rFonts w:ascii="Times New Roman" w:eastAsia="Times New Roman" w:hAnsi="Times New Roman" w:cs="Times New Roman"/>
          <w:lang w:eastAsia="en-GB"/>
        </w:rPr>
        <w:t>188</w:t>
      </w:r>
      <w:r w:rsidR="00A434D5" w:rsidRPr="00FE5432">
        <w:rPr>
          <w:rFonts w:ascii="Times New Roman" w:hAnsi="Times New Roman" w:cs="Times New Roman"/>
        </w:rPr>
        <w:t xml:space="preserve">). </w:t>
      </w:r>
      <w:r w:rsidR="00EF12CC" w:rsidRPr="00FE5432">
        <w:rPr>
          <w:rFonts w:ascii="Times New Roman" w:hAnsi="Times New Roman" w:cs="Times New Roman"/>
        </w:rPr>
        <w:t>T</w:t>
      </w:r>
      <w:r w:rsidR="00A434D5" w:rsidRPr="00FE5432">
        <w:rPr>
          <w:rFonts w:ascii="Times New Roman" w:hAnsi="Times New Roman" w:cs="Times New Roman"/>
        </w:rPr>
        <w:t>he government’s share of amendments at Stage 3 (76.6 percent) is notably higher than Stage 2 (56.4 percent)</w:t>
      </w:r>
      <w:r w:rsidR="00EF12CC" w:rsidRPr="00FE5432">
        <w:rPr>
          <w:rFonts w:ascii="Times New Roman" w:hAnsi="Times New Roman" w:cs="Times New Roman"/>
        </w:rPr>
        <w:t>, implying</w:t>
      </w:r>
      <w:r w:rsidR="00A434D5" w:rsidRPr="00FE5432">
        <w:rPr>
          <w:rFonts w:ascii="Times New Roman" w:hAnsi="Times New Roman" w:cs="Times New Roman"/>
        </w:rPr>
        <w:t xml:space="preserve"> </w:t>
      </w:r>
      <w:r w:rsidR="007B2B0C" w:rsidRPr="00FE5432">
        <w:rPr>
          <w:rFonts w:ascii="Times New Roman" w:hAnsi="Times New Roman" w:cs="Times New Roman"/>
        </w:rPr>
        <w:t xml:space="preserve">government </w:t>
      </w:r>
      <w:r w:rsidR="00EF12CC" w:rsidRPr="00FE5432">
        <w:rPr>
          <w:rFonts w:ascii="Times New Roman" w:hAnsi="Times New Roman" w:cs="Times New Roman"/>
        </w:rPr>
        <w:t xml:space="preserve">assurances </w:t>
      </w:r>
      <w:r w:rsidR="007B2B0C" w:rsidRPr="00FE5432">
        <w:rPr>
          <w:rFonts w:ascii="Times New Roman" w:hAnsi="Times New Roman" w:cs="Times New Roman"/>
        </w:rPr>
        <w:t xml:space="preserve">evolve into amendments </w:t>
      </w:r>
      <w:r w:rsidR="00EF12CC" w:rsidRPr="00FE5432">
        <w:rPr>
          <w:rFonts w:ascii="Times New Roman" w:hAnsi="Times New Roman" w:cs="Times New Roman"/>
        </w:rPr>
        <w:t xml:space="preserve">later </w:t>
      </w:r>
      <w:r w:rsidR="00A434D5" w:rsidRPr="00FE5432">
        <w:rPr>
          <w:rFonts w:ascii="Times New Roman" w:hAnsi="Times New Roman" w:cs="Times New Roman"/>
        </w:rPr>
        <w:t>(189)</w:t>
      </w:r>
      <w:r w:rsidR="00EF12CC" w:rsidRPr="00FE5432">
        <w:rPr>
          <w:rFonts w:ascii="Times New Roman" w:hAnsi="Times New Roman" w:cs="Times New Roman"/>
        </w:rPr>
        <w:t xml:space="preserve">. </w:t>
      </w:r>
    </w:p>
    <w:p w14:paraId="302872F3" w14:textId="1ACEA25B" w:rsidR="00983FAA" w:rsidRPr="00FE5432" w:rsidRDefault="00983FAA" w:rsidP="00FE5432">
      <w:pPr>
        <w:spacing w:line="480" w:lineRule="auto"/>
        <w:rPr>
          <w:rFonts w:ascii="Times New Roman" w:eastAsia="Times New Roman" w:hAnsi="Times New Roman" w:cs="Times New Roman"/>
          <w:lang w:eastAsia="en-GB"/>
        </w:rPr>
      </w:pPr>
    </w:p>
    <w:p w14:paraId="51143591" w14:textId="6E764F82" w:rsidR="00624E87" w:rsidRPr="00FE5432" w:rsidRDefault="00983FAA" w:rsidP="00FE5432">
      <w:pPr>
        <w:spacing w:line="480" w:lineRule="auto"/>
        <w:ind w:firstLine="720"/>
        <w:rPr>
          <w:rFonts w:ascii="Times New Roman" w:hAnsi="Times New Roman" w:cs="Times New Roman"/>
        </w:rPr>
      </w:pPr>
      <w:r w:rsidRPr="00FE5432">
        <w:rPr>
          <w:rFonts w:ascii="Times New Roman" w:hAnsi="Times New Roman" w:cs="Times New Roman"/>
        </w:rPr>
        <w:lastRenderedPageBreak/>
        <w:t xml:space="preserve">Qualitative evidence compounds this analysis. </w:t>
      </w:r>
      <w:r w:rsidR="008D1CE3" w:rsidRPr="00BC05CB">
        <w:rPr>
          <w:rFonts w:ascii="Times New Roman" w:hAnsi="Times New Roman" w:cs="Times New Roman"/>
        </w:rPr>
        <w:t>UK ministers feel pressure</w:t>
      </w:r>
      <w:r w:rsidR="008D1CE3">
        <w:rPr>
          <w:rFonts w:ascii="Times New Roman" w:hAnsi="Times New Roman" w:cs="Times New Roman"/>
        </w:rPr>
        <w:t>d</w:t>
      </w:r>
      <w:r w:rsidR="008D1CE3" w:rsidRPr="00BC05CB">
        <w:rPr>
          <w:rFonts w:ascii="Times New Roman" w:hAnsi="Times New Roman" w:cs="Times New Roman"/>
        </w:rPr>
        <w:t xml:space="preserve"> to follow up undertakings, with one commenting ‘having given a commitment, you are bound to deliver on it’ (Thompson, 2013: 475). </w:t>
      </w:r>
      <w:r w:rsidR="00DC23CB">
        <w:rPr>
          <w:rFonts w:ascii="Times New Roman" w:hAnsi="Times New Roman" w:cs="Times New Roman"/>
        </w:rPr>
        <w:t>Speaker (A)</w:t>
      </w:r>
      <w:r w:rsidR="0008240B" w:rsidRPr="00FE5432">
        <w:rPr>
          <w:rFonts w:ascii="Times New Roman" w:hAnsi="Times New Roman" w:cs="Times New Roman"/>
        </w:rPr>
        <w:t xml:space="preserve"> </w:t>
      </w:r>
      <w:r w:rsidR="00BE7363" w:rsidRPr="00FE5432">
        <w:rPr>
          <w:rFonts w:ascii="Times New Roman" w:hAnsi="Times New Roman" w:cs="Times New Roman"/>
        </w:rPr>
        <w:t>confirmed</w:t>
      </w:r>
      <w:r w:rsidR="00AC698A" w:rsidRPr="00FE5432">
        <w:rPr>
          <w:rFonts w:ascii="Times New Roman" w:hAnsi="Times New Roman" w:cs="Times New Roman"/>
        </w:rPr>
        <w:t xml:space="preserve"> </w:t>
      </w:r>
      <w:r w:rsidR="008006FB" w:rsidRPr="00FE5432">
        <w:rPr>
          <w:rFonts w:ascii="Times New Roman" w:hAnsi="Times New Roman" w:cs="Times New Roman"/>
        </w:rPr>
        <w:t>that a</w:t>
      </w:r>
      <w:r w:rsidR="00452EB2" w:rsidRPr="00FE5432">
        <w:rPr>
          <w:rFonts w:ascii="Times New Roman" w:hAnsi="Times New Roman" w:cs="Times New Roman"/>
        </w:rPr>
        <w:t xml:space="preserve">n ‘unsuccessful’ </w:t>
      </w:r>
      <w:r w:rsidR="008006FB" w:rsidRPr="00FE5432">
        <w:rPr>
          <w:rFonts w:ascii="Times New Roman" w:hAnsi="Times New Roman" w:cs="Times New Roman"/>
        </w:rPr>
        <w:t xml:space="preserve">amendment </w:t>
      </w:r>
      <w:r w:rsidR="00452EB2" w:rsidRPr="00FE5432">
        <w:rPr>
          <w:rFonts w:ascii="Times New Roman" w:hAnsi="Times New Roman" w:cs="Times New Roman"/>
        </w:rPr>
        <w:t xml:space="preserve">being </w:t>
      </w:r>
      <w:r w:rsidR="008006FB" w:rsidRPr="00FE5432">
        <w:rPr>
          <w:rFonts w:ascii="Times New Roman" w:hAnsi="Times New Roman" w:cs="Times New Roman"/>
        </w:rPr>
        <w:t>picked up later by the government ‘happens an awful lot’ and is a ‘recognised method of achieving an amendment to a bill’</w:t>
      </w:r>
      <w:r w:rsidR="0026148B" w:rsidRPr="00FE5432">
        <w:rPr>
          <w:rFonts w:ascii="Times New Roman" w:hAnsi="Times New Roman" w:cs="Times New Roman"/>
        </w:rPr>
        <w:t>, illustrating the importance of assurances</w:t>
      </w:r>
      <w:r w:rsidR="008006FB" w:rsidRPr="00FE5432">
        <w:rPr>
          <w:rFonts w:ascii="Times New Roman" w:hAnsi="Times New Roman" w:cs="Times New Roman"/>
        </w:rPr>
        <w:t xml:space="preserve">. </w:t>
      </w:r>
      <w:r w:rsidR="005D243B" w:rsidRPr="00FE5432">
        <w:rPr>
          <w:rFonts w:ascii="Times New Roman" w:hAnsi="Times New Roman" w:cs="Times New Roman"/>
        </w:rPr>
        <w:t>O</w:t>
      </w:r>
      <w:r w:rsidR="00995ED0" w:rsidRPr="00FE5432">
        <w:rPr>
          <w:rFonts w:ascii="Times New Roman" w:hAnsi="Times New Roman" w:cs="Times New Roman"/>
        </w:rPr>
        <w:t>fficial ministerial guidance reflects this: ‘accept the amendment in principle…offer to table improved wording to meet the intended aim at a later stage’ (Cabinet Office, 2012</w:t>
      </w:r>
      <w:r w:rsidR="004C6ABB">
        <w:rPr>
          <w:rFonts w:ascii="Times New Roman" w:hAnsi="Times New Roman" w:cs="Times New Roman"/>
        </w:rPr>
        <w:t>: 1</w:t>
      </w:r>
      <w:r w:rsidR="00995ED0" w:rsidRPr="00FE5432">
        <w:rPr>
          <w:rFonts w:ascii="Times New Roman" w:hAnsi="Times New Roman" w:cs="Times New Roman"/>
        </w:rPr>
        <w:t xml:space="preserve">51). </w:t>
      </w:r>
      <w:r w:rsidR="008006FB" w:rsidRPr="00FE5432">
        <w:rPr>
          <w:rFonts w:ascii="Times New Roman" w:hAnsi="Times New Roman" w:cs="Times New Roman"/>
        </w:rPr>
        <w:t xml:space="preserve">Many </w:t>
      </w:r>
      <w:r w:rsidR="00AC698A" w:rsidRPr="00FE5432">
        <w:rPr>
          <w:rFonts w:ascii="Times New Roman" w:hAnsi="Times New Roman" w:cs="Times New Roman"/>
        </w:rPr>
        <w:t>members, the clerk explai</w:t>
      </w:r>
      <w:r w:rsidR="00FB1592" w:rsidRPr="00FE5432">
        <w:rPr>
          <w:rFonts w:ascii="Times New Roman" w:hAnsi="Times New Roman" w:cs="Times New Roman"/>
        </w:rPr>
        <w:t>ned</w:t>
      </w:r>
      <w:r w:rsidR="00AC698A" w:rsidRPr="00FE5432">
        <w:rPr>
          <w:rFonts w:ascii="Times New Roman" w:hAnsi="Times New Roman" w:cs="Times New Roman"/>
        </w:rPr>
        <w:t xml:space="preserve">, </w:t>
      </w:r>
      <w:r w:rsidR="008006FB" w:rsidRPr="00FE5432">
        <w:rPr>
          <w:rFonts w:ascii="Times New Roman" w:hAnsi="Times New Roman" w:cs="Times New Roman"/>
        </w:rPr>
        <w:t>have ‘no serious intention in affecting change in the wording of a bill’</w:t>
      </w:r>
      <w:r w:rsidR="00AC698A" w:rsidRPr="00FE5432">
        <w:rPr>
          <w:rFonts w:ascii="Times New Roman" w:hAnsi="Times New Roman" w:cs="Times New Roman"/>
        </w:rPr>
        <w:t xml:space="preserve">, </w:t>
      </w:r>
      <w:r w:rsidR="00F5030B" w:rsidRPr="00FE5432">
        <w:rPr>
          <w:rFonts w:ascii="Times New Roman" w:hAnsi="Times New Roman" w:cs="Times New Roman"/>
        </w:rPr>
        <w:t>demonstrating</w:t>
      </w:r>
      <w:r w:rsidR="00AC698A" w:rsidRPr="00FE5432">
        <w:rPr>
          <w:rFonts w:ascii="Times New Roman" w:hAnsi="Times New Roman" w:cs="Times New Roman"/>
        </w:rPr>
        <w:t xml:space="preserve"> high numbers of ‘unsuccessful’ non-government amendments are misleading.</w:t>
      </w:r>
      <w:r w:rsidR="007876CE" w:rsidRPr="00FE5432">
        <w:rPr>
          <w:rFonts w:ascii="Times New Roman" w:hAnsi="Times New Roman" w:cs="Times New Roman"/>
        </w:rPr>
        <w:t xml:space="preserve"> </w:t>
      </w:r>
      <w:r w:rsidR="00AE2D7B" w:rsidRPr="00FE5432">
        <w:rPr>
          <w:rFonts w:ascii="Times New Roman" w:hAnsi="Times New Roman" w:cs="Times New Roman"/>
        </w:rPr>
        <w:t>Insight from the government side compounds this analysis.</w:t>
      </w:r>
      <w:r w:rsidR="007876CE" w:rsidRPr="00FE5432">
        <w:rPr>
          <w:rFonts w:ascii="Times New Roman" w:hAnsi="Times New Roman" w:cs="Times New Roman"/>
        </w:rPr>
        <w:t xml:space="preserve"> </w:t>
      </w:r>
      <w:proofErr w:type="spellStart"/>
      <w:r w:rsidR="008E5287" w:rsidRPr="00FE5432">
        <w:rPr>
          <w:rFonts w:ascii="Times New Roman" w:hAnsi="Times New Roman" w:cs="Times New Roman"/>
        </w:rPr>
        <w:t>Lidington</w:t>
      </w:r>
      <w:proofErr w:type="spellEnd"/>
      <w:r w:rsidR="000236AE" w:rsidRPr="00FE5432">
        <w:rPr>
          <w:rFonts w:ascii="Times New Roman" w:hAnsi="Times New Roman" w:cs="Times New Roman"/>
        </w:rPr>
        <w:t xml:space="preserve"> </w:t>
      </w:r>
      <w:r w:rsidR="00AE2D7B" w:rsidRPr="00FE5432">
        <w:rPr>
          <w:rFonts w:ascii="Times New Roman" w:hAnsi="Times New Roman" w:cs="Times New Roman"/>
        </w:rPr>
        <w:t>used to vet ‘every bid from a Secretary to put a bill into the government’s legislative programme’ (</w:t>
      </w:r>
      <w:r w:rsidR="004C6ABB">
        <w:rPr>
          <w:rFonts w:ascii="Times New Roman" w:hAnsi="Times New Roman" w:cs="Times New Roman"/>
        </w:rPr>
        <w:t xml:space="preserve">2022: </w:t>
      </w:r>
      <w:r w:rsidR="00AE2D7B" w:rsidRPr="00FE5432">
        <w:rPr>
          <w:rFonts w:ascii="Times New Roman" w:hAnsi="Times New Roman" w:cs="Times New Roman"/>
        </w:rPr>
        <w:t xml:space="preserve">12:15). </w:t>
      </w:r>
      <w:r w:rsidR="00F249E0" w:rsidRPr="00FE5432">
        <w:rPr>
          <w:rFonts w:ascii="Times New Roman" w:hAnsi="Times New Roman" w:cs="Times New Roman"/>
        </w:rPr>
        <w:t>He look</w:t>
      </w:r>
      <w:r w:rsidR="00B843B2" w:rsidRPr="00FE5432">
        <w:rPr>
          <w:rFonts w:ascii="Times New Roman" w:hAnsi="Times New Roman" w:cs="Times New Roman"/>
        </w:rPr>
        <w:t>ed</w:t>
      </w:r>
      <w:r w:rsidR="00F249E0" w:rsidRPr="00FE5432">
        <w:rPr>
          <w:rFonts w:ascii="Times New Roman" w:hAnsi="Times New Roman" w:cs="Times New Roman"/>
        </w:rPr>
        <w:t xml:space="preserve"> ‘very hard at what their contingency plans were for concessions…which would not be published’ (13:12). This demonstrates that a government expects to give assurances</w:t>
      </w:r>
      <w:r w:rsidR="00B843B2" w:rsidRPr="00FE5432">
        <w:rPr>
          <w:rFonts w:ascii="Times New Roman" w:hAnsi="Times New Roman" w:cs="Times New Roman"/>
        </w:rPr>
        <w:t>. Its</w:t>
      </w:r>
      <w:r w:rsidR="00F249E0" w:rsidRPr="00FE5432">
        <w:rPr>
          <w:rFonts w:ascii="Times New Roman" w:hAnsi="Times New Roman" w:cs="Times New Roman"/>
        </w:rPr>
        <w:t xml:space="preserve"> aim is clearly to present such concessions as government-led amendments, whilst actually the impetus c</w:t>
      </w:r>
      <w:r w:rsidR="00010629">
        <w:rPr>
          <w:rFonts w:ascii="Times New Roman" w:hAnsi="Times New Roman" w:cs="Times New Roman"/>
        </w:rPr>
        <w:t>a</w:t>
      </w:r>
      <w:r w:rsidR="00F249E0" w:rsidRPr="00FE5432">
        <w:rPr>
          <w:rFonts w:ascii="Times New Roman" w:hAnsi="Times New Roman" w:cs="Times New Roman"/>
        </w:rPr>
        <w:t xml:space="preserve">me from committee. </w:t>
      </w:r>
      <w:r w:rsidR="004B1CF6" w:rsidRPr="00FE5432">
        <w:rPr>
          <w:rFonts w:ascii="Times New Roman" w:hAnsi="Times New Roman" w:cs="Times New Roman"/>
        </w:rPr>
        <w:t>In Holyrood</w:t>
      </w:r>
      <w:r w:rsidR="00C62EC0" w:rsidRPr="00FE5432">
        <w:rPr>
          <w:rFonts w:ascii="Times New Roman" w:hAnsi="Times New Roman" w:cs="Times New Roman"/>
        </w:rPr>
        <w:t xml:space="preserve"> too</w:t>
      </w:r>
      <w:r w:rsidR="004B1CF6" w:rsidRPr="00FE5432">
        <w:rPr>
          <w:rFonts w:ascii="Times New Roman" w:hAnsi="Times New Roman" w:cs="Times New Roman"/>
        </w:rPr>
        <w:t xml:space="preserve">, </w:t>
      </w:r>
      <w:r w:rsidR="00C62EC0" w:rsidRPr="00FE5432">
        <w:rPr>
          <w:rFonts w:ascii="Times New Roman" w:hAnsi="Times New Roman" w:cs="Times New Roman"/>
        </w:rPr>
        <w:t xml:space="preserve">the </w:t>
      </w:r>
      <w:r w:rsidR="00BD60FB" w:rsidRPr="00FE5432">
        <w:rPr>
          <w:rFonts w:ascii="Times New Roman" w:hAnsi="Times New Roman" w:cs="Times New Roman"/>
        </w:rPr>
        <w:t>NGBU clerk</w:t>
      </w:r>
      <w:r w:rsidR="00624E87" w:rsidRPr="00FE5432">
        <w:rPr>
          <w:rFonts w:ascii="Times New Roman" w:hAnsi="Times New Roman" w:cs="Times New Roman"/>
        </w:rPr>
        <w:t xml:space="preserve"> emphasised that non-government members try to be ‘nifty’ and ‘strategic’ in securing assurances to broker ‘some form of compromise’</w:t>
      </w:r>
      <w:r w:rsidR="00AE7F36">
        <w:rPr>
          <w:rFonts w:ascii="Times New Roman" w:hAnsi="Times New Roman" w:cs="Times New Roman"/>
        </w:rPr>
        <w:t xml:space="preserve"> (Speaker (C), </w:t>
      </w:r>
      <w:r w:rsidR="002F2CDF">
        <w:rPr>
          <w:rFonts w:ascii="Times New Roman" w:hAnsi="Times New Roman" w:cs="Times New Roman"/>
        </w:rPr>
        <w:t>2022)</w:t>
      </w:r>
      <w:r w:rsidR="00624E87" w:rsidRPr="00FE5432">
        <w:rPr>
          <w:rFonts w:ascii="Times New Roman" w:hAnsi="Times New Roman" w:cs="Times New Roman"/>
        </w:rPr>
        <w:t>.</w:t>
      </w:r>
      <w:r w:rsidR="008200DD">
        <w:rPr>
          <w:rFonts w:ascii="Times New Roman" w:hAnsi="Times New Roman" w:cs="Times New Roman"/>
        </w:rPr>
        <w:t xml:space="preserve"> One MSP explained that</w:t>
      </w:r>
      <w:r w:rsidR="00D31C0E">
        <w:rPr>
          <w:rFonts w:ascii="Times New Roman" w:hAnsi="Times New Roman" w:cs="Times New Roman"/>
        </w:rPr>
        <w:t>,</w:t>
      </w:r>
      <w:r w:rsidR="008200DD">
        <w:rPr>
          <w:rFonts w:ascii="Times New Roman" w:hAnsi="Times New Roman" w:cs="Times New Roman"/>
        </w:rPr>
        <w:t xml:space="preserve"> especially with a government majority, members are ‘looking to make more political points’ by ‘probing to get assurances’</w:t>
      </w:r>
      <w:r w:rsidR="002D40B6">
        <w:rPr>
          <w:rFonts w:ascii="Times New Roman" w:hAnsi="Times New Roman" w:cs="Times New Roman"/>
        </w:rPr>
        <w:t xml:space="preserve"> </w:t>
      </w:r>
      <w:r w:rsidR="000874BB">
        <w:rPr>
          <w:rFonts w:ascii="Times New Roman" w:hAnsi="Times New Roman" w:cs="Times New Roman"/>
        </w:rPr>
        <w:t>(MSP (A), 2022)</w:t>
      </w:r>
      <w:r w:rsidR="008200DD">
        <w:rPr>
          <w:rFonts w:ascii="Times New Roman" w:hAnsi="Times New Roman" w:cs="Times New Roman"/>
        </w:rPr>
        <w:t xml:space="preserve">. </w:t>
      </w:r>
    </w:p>
    <w:p w14:paraId="483E8AB5" w14:textId="225C1334" w:rsidR="00BD60FB" w:rsidRPr="00FE5432" w:rsidRDefault="00BD60FB" w:rsidP="00FE5432">
      <w:pPr>
        <w:spacing w:line="480" w:lineRule="auto"/>
        <w:rPr>
          <w:rFonts w:ascii="Times New Roman" w:hAnsi="Times New Roman" w:cs="Times New Roman"/>
        </w:rPr>
      </w:pPr>
    </w:p>
    <w:p w14:paraId="41597660" w14:textId="38BF8F08" w:rsidR="00BD60FB" w:rsidRPr="00FE5432" w:rsidRDefault="00BD60FB" w:rsidP="00FE5432">
      <w:pPr>
        <w:spacing w:line="480" w:lineRule="auto"/>
        <w:ind w:firstLine="720"/>
        <w:rPr>
          <w:rFonts w:ascii="Times New Roman" w:eastAsia="Times New Roman" w:hAnsi="Times New Roman" w:cs="Times New Roman"/>
          <w:lang w:eastAsia="en-GB"/>
        </w:rPr>
      </w:pPr>
      <w:r w:rsidRPr="00FE5432">
        <w:rPr>
          <w:rFonts w:ascii="Times New Roman" w:eastAsia="Times New Roman" w:hAnsi="Times New Roman" w:cs="Times New Roman"/>
          <w:lang w:eastAsia="en-GB"/>
        </w:rPr>
        <w:t>Overall, both committee systems have considerably more influence via assurances, with large numbers of government amendments traceable back to committee</w:t>
      </w:r>
      <w:r w:rsidR="00064127" w:rsidRPr="00FE5432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FE5432">
        <w:rPr>
          <w:rFonts w:ascii="Times New Roman" w:eastAsia="Times New Roman" w:hAnsi="Times New Roman" w:cs="Times New Roman"/>
          <w:lang w:eastAsia="en-GB"/>
        </w:rPr>
        <w:t>Holyrood</w:t>
      </w:r>
      <w:r w:rsidR="00064127" w:rsidRPr="00FE5432">
        <w:rPr>
          <w:rFonts w:ascii="Times New Roman" w:eastAsia="Times New Roman" w:hAnsi="Times New Roman" w:cs="Times New Roman"/>
          <w:lang w:eastAsia="en-GB"/>
        </w:rPr>
        <w:t>’s</w:t>
      </w:r>
      <w:r w:rsidRPr="00FE5432">
        <w:rPr>
          <w:rFonts w:ascii="Times New Roman" w:eastAsia="Times New Roman" w:hAnsi="Times New Roman" w:cs="Times New Roman"/>
          <w:lang w:eastAsia="en-GB"/>
        </w:rPr>
        <w:t xml:space="preserve"> system appears to again perform slightly better</w:t>
      </w:r>
      <w:r w:rsidR="008A6C87" w:rsidRPr="00FE5432">
        <w:rPr>
          <w:rFonts w:ascii="Times New Roman" w:eastAsia="Times New Roman" w:hAnsi="Times New Roman" w:cs="Times New Roman"/>
          <w:lang w:eastAsia="en-GB"/>
        </w:rPr>
        <w:t xml:space="preserve">, with </w:t>
      </w:r>
      <w:r w:rsidRPr="00FE5432">
        <w:rPr>
          <w:rFonts w:ascii="Times New Roman" w:eastAsia="Times New Roman" w:hAnsi="Times New Roman" w:cs="Times New Roman"/>
          <w:lang w:eastAsia="en-GB"/>
        </w:rPr>
        <w:t>around 66 percent of successful government amendments result</w:t>
      </w:r>
      <w:r w:rsidR="0079012E" w:rsidRPr="00FE5432">
        <w:rPr>
          <w:rFonts w:ascii="Times New Roman" w:eastAsia="Times New Roman" w:hAnsi="Times New Roman" w:cs="Times New Roman"/>
          <w:lang w:eastAsia="en-GB"/>
        </w:rPr>
        <w:t>ing</w:t>
      </w:r>
      <w:r w:rsidRPr="00FE5432">
        <w:rPr>
          <w:rFonts w:ascii="Times New Roman" w:eastAsia="Times New Roman" w:hAnsi="Times New Roman" w:cs="Times New Roman"/>
          <w:lang w:eastAsia="en-GB"/>
        </w:rPr>
        <w:t xml:space="preserve"> from parliamentary pressure linkable to committee</w:t>
      </w:r>
      <w:r w:rsidR="009745E2" w:rsidRPr="00FE5432">
        <w:rPr>
          <w:rFonts w:ascii="Times New Roman" w:eastAsia="Times New Roman" w:hAnsi="Times New Roman" w:cs="Times New Roman"/>
          <w:lang w:eastAsia="en-GB"/>
        </w:rPr>
        <w:t xml:space="preserve"> (</w:t>
      </w:r>
      <w:r w:rsidRPr="00FE5432">
        <w:rPr>
          <w:rFonts w:ascii="Times New Roman" w:eastAsia="Times New Roman" w:hAnsi="Times New Roman" w:cs="Times New Roman"/>
          <w:lang w:eastAsia="en-GB"/>
        </w:rPr>
        <w:t xml:space="preserve">compared to </w:t>
      </w:r>
      <w:r w:rsidR="0079012E" w:rsidRPr="00FE5432">
        <w:rPr>
          <w:rFonts w:ascii="Times New Roman" w:eastAsia="Times New Roman" w:hAnsi="Times New Roman" w:cs="Times New Roman"/>
          <w:lang w:eastAsia="en-GB"/>
        </w:rPr>
        <w:t>Westminster’s</w:t>
      </w:r>
      <w:r w:rsidRPr="00FE5432">
        <w:rPr>
          <w:rFonts w:ascii="Times New Roman" w:eastAsia="Times New Roman" w:hAnsi="Times New Roman" w:cs="Times New Roman"/>
          <w:lang w:eastAsia="en-GB"/>
        </w:rPr>
        <w:t xml:space="preserve"> 51 percent</w:t>
      </w:r>
      <w:r w:rsidR="009745E2" w:rsidRPr="00FE5432">
        <w:rPr>
          <w:rFonts w:ascii="Times New Roman" w:eastAsia="Times New Roman" w:hAnsi="Times New Roman" w:cs="Times New Roman"/>
          <w:lang w:eastAsia="en-GB"/>
        </w:rPr>
        <w:t>)</w:t>
      </w:r>
      <w:r w:rsidRPr="00FE5432">
        <w:rPr>
          <w:rFonts w:ascii="Times New Roman" w:eastAsia="Times New Roman" w:hAnsi="Times New Roman" w:cs="Times New Roman"/>
          <w:lang w:eastAsia="en-GB"/>
        </w:rPr>
        <w:t xml:space="preserve">. </w:t>
      </w:r>
      <w:r w:rsidR="000756AF" w:rsidRPr="00FE5432">
        <w:rPr>
          <w:rFonts w:ascii="Times New Roman" w:eastAsia="Times New Roman" w:hAnsi="Times New Roman" w:cs="Times New Roman"/>
          <w:lang w:eastAsia="en-GB"/>
        </w:rPr>
        <w:t>However, t</w:t>
      </w:r>
      <w:r w:rsidRPr="00FE5432">
        <w:rPr>
          <w:rFonts w:ascii="Times New Roman" w:eastAsia="Times New Roman" w:hAnsi="Times New Roman" w:cs="Times New Roman"/>
          <w:lang w:eastAsia="en-GB"/>
        </w:rPr>
        <w:t xml:space="preserve">he difference is not over-emphasised, </w:t>
      </w:r>
      <w:r w:rsidRPr="00FE5432">
        <w:rPr>
          <w:rFonts w:ascii="Times New Roman" w:eastAsia="Times New Roman" w:hAnsi="Times New Roman" w:cs="Times New Roman"/>
          <w:lang w:eastAsia="en-GB"/>
        </w:rPr>
        <w:lastRenderedPageBreak/>
        <w:t>considering Westminster achieves numerically more amendments of this sort (51 percent compared to 25 percent)</w:t>
      </w:r>
      <w:r w:rsidR="00D04A0E" w:rsidRPr="00FE5432">
        <w:rPr>
          <w:rFonts w:ascii="Times New Roman" w:eastAsia="Times New Roman" w:hAnsi="Times New Roman" w:cs="Times New Roman"/>
          <w:lang w:eastAsia="en-GB"/>
        </w:rPr>
        <w:t>,</w:t>
      </w:r>
      <w:r w:rsidRPr="00FE5432">
        <w:rPr>
          <w:rFonts w:ascii="Times New Roman" w:eastAsia="Times New Roman" w:hAnsi="Times New Roman" w:cs="Times New Roman"/>
          <w:lang w:eastAsia="en-GB"/>
        </w:rPr>
        <w:t xml:space="preserve"> just deriv</w:t>
      </w:r>
      <w:r w:rsidR="00D04A0E" w:rsidRPr="00FE5432">
        <w:rPr>
          <w:rFonts w:ascii="Times New Roman" w:eastAsia="Times New Roman" w:hAnsi="Times New Roman" w:cs="Times New Roman"/>
          <w:lang w:eastAsia="en-GB"/>
        </w:rPr>
        <w:t>ing</w:t>
      </w:r>
      <w:r w:rsidRPr="00FE5432">
        <w:rPr>
          <w:rFonts w:ascii="Times New Roman" w:eastAsia="Times New Roman" w:hAnsi="Times New Roman" w:cs="Times New Roman"/>
          <w:lang w:eastAsia="en-GB"/>
        </w:rPr>
        <w:t xml:space="preserve"> from other forms of parliamentary pressure.</w:t>
      </w:r>
    </w:p>
    <w:p w14:paraId="28EC60CB" w14:textId="0F4A1388" w:rsidR="00AE3F0B" w:rsidRPr="00FE5432" w:rsidRDefault="00AE3F0B" w:rsidP="00FE5432">
      <w:pPr>
        <w:spacing w:line="480" w:lineRule="auto"/>
        <w:rPr>
          <w:rFonts w:ascii="Times New Roman" w:hAnsi="Times New Roman" w:cs="Times New Roman"/>
        </w:rPr>
      </w:pPr>
    </w:p>
    <w:p w14:paraId="37B88A77" w14:textId="2DF8373D" w:rsidR="005971A9" w:rsidRPr="00FE5432" w:rsidRDefault="00121853" w:rsidP="00FE5432">
      <w:pPr>
        <w:spacing w:line="480" w:lineRule="auto"/>
        <w:rPr>
          <w:rFonts w:ascii="Times New Roman" w:hAnsi="Times New Roman" w:cs="Times New Roman"/>
          <w:b/>
          <w:bCs/>
        </w:rPr>
      </w:pPr>
      <w:r w:rsidRPr="00FE5432">
        <w:rPr>
          <w:rFonts w:ascii="Times New Roman" w:hAnsi="Times New Roman" w:cs="Times New Roman"/>
          <w:b/>
          <w:bCs/>
        </w:rPr>
        <w:t>C</w:t>
      </w:r>
      <w:r w:rsidR="005971A9" w:rsidRPr="00FE5432">
        <w:rPr>
          <w:rFonts w:ascii="Times New Roman" w:hAnsi="Times New Roman" w:cs="Times New Roman"/>
          <w:b/>
          <w:bCs/>
        </w:rPr>
        <w:t>omparative analysis of assurances</w:t>
      </w:r>
      <w:r w:rsidRPr="00FE5432">
        <w:rPr>
          <w:rFonts w:ascii="Times New Roman" w:hAnsi="Times New Roman" w:cs="Times New Roman"/>
          <w:b/>
          <w:bCs/>
        </w:rPr>
        <w:t>: case studies</w:t>
      </w:r>
    </w:p>
    <w:p w14:paraId="07A7A974" w14:textId="3DA4D5F1" w:rsidR="00D727E0" w:rsidRPr="00FE5432" w:rsidRDefault="00D727E0" w:rsidP="00FE5432">
      <w:pPr>
        <w:spacing w:line="480" w:lineRule="auto"/>
        <w:rPr>
          <w:rFonts w:ascii="Times New Roman" w:hAnsi="Times New Roman" w:cs="Times New Roman"/>
        </w:rPr>
      </w:pPr>
    </w:p>
    <w:p w14:paraId="4837DE88" w14:textId="174EB9FE" w:rsidR="00D727E0" w:rsidRPr="00FE5432" w:rsidRDefault="00802646" w:rsidP="00FE5432">
      <w:pPr>
        <w:spacing w:line="480" w:lineRule="auto"/>
        <w:ind w:firstLine="720"/>
        <w:rPr>
          <w:rFonts w:ascii="Times New Roman" w:hAnsi="Times New Roman" w:cs="Times New Roman"/>
        </w:rPr>
      </w:pPr>
      <w:r w:rsidRPr="00FE5432">
        <w:rPr>
          <w:rFonts w:ascii="Times New Roman" w:hAnsi="Times New Roman" w:cs="Times New Roman"/>
        </w:rPr>
        <w:t xml:space="preserve">In </w:t>
      </w:r>
      <w:r w:rsidR="00F64E4C" w:rsidRPr="00FE5432">
        <w:rPr>
          <w:rFonts w:ascii="Times New Roman" w:hAnsi="Times New Roman" w:cs="Times New Roman"/>
        </w:rPr>
        <w:t>Westminster’s</w:t>
      </w:r>
      <w:r w:rsidRPr="00FE5432">
        <w:rPr>
          <w:rFonts w:ascii="Times New Roman" w:hAnsi="Times New Roman" w:cs="Times New Roman"/>
        </w:rPr>
        <w:t xml:space="preserve"> committee, assurances were just as central and, in fact, dominated the aims of members. </w:t>
      </w:r>
      <w:r w:rsidR="00D727E0" w:rsidRPr="00FE5432">
        <w:rPr>
          <w:rFonts w:ascii="Times New Roman" w:hAnsi="Times New Roman" w:cs="Times New Roman"/>
        </w:rPr>
        <w:t xml:space="preserve">There </w:t>
      </w:r>
      <w:r w:rsidR="004E216D" w:rsidRPr="00FE5432">
        <w:rPr>
          <w:rFonts w:ascii="Times New Roman" w:hAnsi="Times New Roman" w:cs="Times New Roman"/>
        </w:rPr>
        <w:t>were</w:t>
      </w:r>
      <w:r w:rsidR="00D727E0" w:rsidRPr="00FE5432">
        <w:rPr>
          <w:rFonts w:ascii="Times New Roman" w:hAnsi="Times New Roman" w:cs="Times New Roman"/>
        </w:rPr>
        <w:t xml:space="preserve"> </w:t>
      </w:r>
      <w:r w:rsidR="00010629">
        <w:rPr>
          <w:rFonts w:ascii="Times New Roman" w:hAnsi="Times New Roman" w:cs="Times New Roman"/>
        </w:rPr>
        <w:t>21</w:t>
      </w:r>
      <w:r w:rsidR="00D727E0" w:rsidRPr="00FE5432">
        <w:rPr>
          <w:rFonts w:ascii="Times New Roman" w:hAnsi="Times New Roman" w:cs="Times New Roman"/>
        </w:rPr>
        <w:t xml:space="preserve"> amendments which </w:t>
      </w:r>
      <w:r w:rsidR="004E216D" w:rsidRPr="00FE5432">
        <w:rPr>
          <w:rFonts w:ascii="Times New Roman" w:hAnsi="Times New Roman" w:cs="Times New Roman"/>
        </w:rPr>
        <w:t>were</w:t>
      </w:r>
      <w:r w:rsidR="00D727E0" w:rsidRPr="00FE5432">
        <w:rPr>
          <w:rFonts w:ascii="Times New Roman" w:hAnsi="Times New Roman" w:cs="Times New Roman"/>
        </w:rPr>
        <w:t xml:space="preserve"> moved in committee but subsequently withdrawn following ministerial assurance</w:t>
      </w:r>
      <w:r w:rsidR="00E84652" w:rsidRPr="00FE5432">
        <w:rPr>
          <w:rFonts w:ascii="Times New Roman" w:hAnsi="Times New Roman" w:cs="Times New Roman"/>
        </w:rPr>
        <w:t xml:space="preserve"> </w:t>
      </w:r>
      <w:r w:rsidR="00D727E0" w:rsidRPr="00FE5432">
        <w:rPr>
          <w:rFonts w:ascii="Times New Roman" w:hAnsi="Times New Roman" w:cs="Times New Roman"/>
        </w:rPr>
        <w:t>(</w:t>
      </w:r>
      <w:proofErr w:type="spellStart"/>
      <w:r w:rsidR="009179D1">
        <w:rPr>
          <w:rFonts w:ascii="Times New Roman" w:hAnsi="Times New Roman" w:cs="Times New Roman"/>
        </w:rPr>
        <w:t>Ho</w:t>
      </w:r>
      <w:r w:rsidR="00555320">
        <w:rPr>
          <w:rFonts w:ascii="Times New Roman" w:hAnsi="Times New Roman" w:cs="Times New Roman"/>
        </w:rPr>
        <w:t>C</w:t>
      </w:r>
      <w:proofErr w:type="spellEnd"/>
      <w:r w:rsidR="009179D1">
        <w:rPr>
          <w:rFonts w:ascii="Times New Roman" w:hAnsi="Times New Roman" w:cs="Times New Roman"/>
        </w:rPr>
        <w:t>, 2021a</w:t>
      </w:r>
      <w:r w:rsidR="00D727E0" w:rsidRPr="00FE5432">
        <w:rPr>
          <w:rFonts w:ascii="Times New Roman" w:hAnsi="Times New Roman" w:cs="Times New Roman"/>
        </w:rPr>
        <w:t>)</w:t>
      </w:r>
      <w:r w:rsidR="001F7763" w:rsidRPr="00FE5432">
        <w:rPr>
          <w:rFonts w:ascii="Times New Roman" w:hAnsi="Times New Roman" w:cs="Times New Roman"/>
        </w:rPr>
        <w:t xml:space="preserve">. </w:t>
      </w:r>
      <w:r w:rsidR="00D727E0" w:rsidRPr="00FE5432">
        <w:rPr>
          <w:rFonts w:ascii="Times New Roman" w:hAnsi="Times New Roman" w:cs="Times New Roman"/>
        </w:rPr>
        <w:t>For example</w:t>
      </w:r>
      <w:r w:rsidR="00DB35B1" w:rsidRPr="00FE5432">
        <w:rPr>
          <w:rFonts w:ascii="Times New Roman" w:hAnsi="Times New Roman" w:cs="Times New Roman"/>
        </w:rPr>
        <w:t>, Louise Haigh</w:t>
      </w:r>
      <w:r w:rsidR="00010629">
        <w:rPr>
          <w:rFonts w:ascii="Times New Roman" w:hAnsi="Times New Roman" w:cs="Times New Roman"/>
        </w:rPr>
        <w:t xml:space="preserve"> (Labour)</w:t>
      </w:r>
      <w:r w:rsidR="00DB35B1" w:rsidRPr="00FE5432">
        <w:rPr>
          <w:rFonts w:ascii="Times New Roman" w:hAnsi="Times New Roman" w:cs="Times New Roman"/>
        </w:rPr>
        <w:t xml:space="preserve"> proposed </w:t>
      </w:r>
      <w:r w:rsidR="00D727E0" w:rsidRPr="00FE5432">
        <w:rPr>
          <w:rFonts w:ascii="Times New Roman" w:hAnsi="Times New Roman" w:cs="Times New Roman"/>
        </w:rPr>
        <w:t>a new Clause 1 requir</w:t>
      </w:r>
      <w:r w:rsidR="00A17B91" w:rsidRPr="00FE5432">
        <w:rPr>
          <w:rFonts w:ascii="Times New Roman" w:hAnsi="Times New Roman" w:cs="Times New Roman"/>
        </w:rPr>
        <w:t>ing</w:t>
      </w:r>
      <w:r w:rsidR="00D727E0" w:rsidRPr="00FE5432">
        <w:rPr>
          <w:rFonts w:ascii="Times New Roman" w:hAnsi="Times New Roman" w:cs="Times New Roman"/>
        </w:rPr>
        <w:t xml:space="preserve"> the Secretary </w:t>
      </w:r>
      <w:r w:rsidR="00DB35B1" w:rsidRPr="00FE5432">
        <w:rPr>
          <w:rFonts w:ascii="Times New Roman" w:hAnsi="Times New Roman" w:cs="Times New Roman"/>
        </w:rPr>
        <w:t xml:space="preserve">to report </w:t>
      </w:r>
      <w:r w:rsidR="00D727E0" w:rsidRPr="00FE5432">
        <w:rPr>
          <w:rFonts w:ascii="Times New Roman" w:hAnsi="Times New Roman" w:cs="Times New Roman"/>
        </w:rPr>
        <w:t>on implement</w:t>
      </w:r>
      <w:r w:rsidR="00811F53" w:rsidRPr="00FE5432">
        <w:rPr>
          <w:rFonts w:ascii="Times New Roman" w:hAnsi="Times New Roman" w:cs="Times New Roman"/>
        </w:rPr>
        <w:t>ation</w:t>
      </w:r>
      <w:r w:rsidR="00D727E0" w:rsidRPr="00FE5432">
        <w:rPr>
          <w:rFonts w:ascii="Times New Roman" w:hAnsi="Times New Roman" w:cs="Times New Roman"/>
        </w:rPr>
        <w:t xml:space="preserve"> </w:t>
      </w:r>
      <w:r w:rsidR="00811F53" w:rsidRPr="00FE5432">
        <w:rPr>
          <w:rFonts w:ascii="Times New Roman" w:hAnsi="Times New Roman" w:cs="Times New Roman"/>
        </w:rPr>
        <w:t>of</w:t>
      </w:r>
      <w:r w:rsidR="00D727E0" w:rsidRPr="00FE5432">
        <w:rPr>
          <w:rFonts w:ascii="Times New Roman" w:hAnsi="Times New Roman" w:cs="Times New Roman"/>
        </w:rPr>
        <w:t xml:space="preserve"> the ‘New Decade, New Approach’ deal </w:t>
      </w:r>
      <w:r w:rsidR="00921EE3" w:rsidRPr="00FE5432">
        <w:rPr>
          <w:rFonts w:ascii="Times New Roman" w:hAnsi="Times New Roman" w:cs="Times New Roman"/>
        </w:rPr>
        <w:t>and the delivery of</w:t>
      </w:r>
      <w:r w:rsidR="00D727E0" w:rsidRPr="00FE5432">
        <w:rPr>
          <w:rFonts w:ascii="Times New Roman" w:hAnsi="Times New Roman" w:cs="Times New Roman"/>
        </w:rPr>
        <w:t xml:space="preserve"> £1.5 billion </w:t>
      </w:r>
      <w:r w:rsidR="00921EE3" w:rsidRPr="00FE5432">
        <w:rPr>
          <w:rFonts w:ascii="Times New Roman" w:hAnsi="Times New Roman" w:cs="Times New Roman"/>
        </w:rPr>
        <w:t>in funding</w:t>
      </w:r>
      <w:r w:rsidR="00D727E0" w:rsidRPr="00FE5432">
        <w:rPr>
          <w:rFonts w:ascii="Times New Roman" w:hAnsi="Times New Roman" w:cs="Times New Roman"/>
        </w:rPr>
        <w:t xml:space="preserve"> (</w:t>
      </w:r>
      <w:r w:rsidR="00921EE3" w:rsidRPr="00FE5432">
        <w:rPr>
          <w:rFonts w:ascii="Times New Roman" w:hAnsi="Times New Roman" w:cs="Times New Roman"/>
        </w:rPr>
        <w:t>91-</w:t>
      </w:r>
      <w:r w:rsidR="00D727E0" w:rsidRPr="00FE5432">
        <w:rPr>
          <w:rFonts w:ascii="Times New Roman" w:hAnsi="Times New Roman" w:cs="Times New Roman"/>
        </w:rPr>
        <w:t>92). The minister</w:t>
      </w:r>
      <w:r w:rsidR="002760A9" w:rsidRPr="00FE5432">
        <w:rPr>
          <w:rFonts w:ascii="Times New Roman" w:hAnsi="Times New Roman" w:cs="Times New Roman"/>
        </w:rPr>
        <w:t>, Robin Wal</w:t>
      </w:r>
      <w:r w:rsidR="004130FD" w:rsidRPr="00FE5432">
        <w:rPr>
          <w:rFonts w:ascii="Times New Roman" w:hAnsi="Times New Roman" w:cs="Times New Roman"/>
        </w:rPr>
        <w:t>ker</w:t>
      </w:r>
      <w:r w:rsidR="007A2009" w:rsidRPr="00FE5432">
        <w:rPr>
          <w:rFonts w:ascii="Times New Roman" w:hAnsi="Times New Roman" w:cs="Times New Roman"/>
        </w:rPr>
        <w:t>,</w:t>
      </w:r>
      <w:r w:rsidR="00D727E0" w:rsidRPr="00FE5432">
        <w:rPr>
          <w:rFonts w:ascii="Times New Roman" w:hAnsi="Times New Roman" w:cs="Times New Roman"/>
        </w:rPr>
        <w:t xml:space="preserve"> explained </w:t>
      </w:r>
      <w:r w:rsidR="00921EE3" w:rsidRPr="00FE5432">
        <w:rPr>
          <w:rFonts w:ascii="Times New Roman" w:hAnsi="Times New Roman" w:cs="Times New Roman"/>
        </w:rPr>
        <w:t>that</w:t>
      </w:r>
      <w:r w:rsidR="00D727E0" w:rsidRPr="00FE5432">
        <w:rPr>
          <w:rFonts w:ascii="Times New Roman" w:hAnsi="Times New Roman" w:cs="Times New Roman"/>
        </w:rPr>
        <w:t xml:space="preserve"> £700 million </w:t>
      </w:r>
      <w:r w:rsidR="00921EE3" w:rsidRPr="00FE5432">
        <w:rPr>
          <w:rFonts w:ascii="Times New Roman" w:hAnsi="Times New Roman" w:cs="Times New Roman"/>
        </w:rPr>
        <w:t xml:space="preserve">had already been released </w:t>
      </w:r>
      <w:r w:rsidR="00AB59D2">
        <w:rPr>
          <w:rFonts w:ascii="Times New Roman" w:hAnsi="Times New Roman" w:cs="Times New Roman"/>
        </w:rPr>
        <w:t>and</w:t>
      </w:r>
      <w:r w:rsidR="00D727E0" w:rsidRPr="00FE5432">
        <w:rPr>
          <w:rFonts w:ascii="Times New Roman" w:hAnsi="Times New Roman" w:cs="Times New Roman"/>
        </w:rPr>
        <w:t xml:space="preserve"> the Northern Ireland Affairs Committee was ‘scrutinising NDNA delivery closely’</w:t>
      </w:r>
      <w:r w:rsidR="00AB59D2">
        <w:rPr>
          <w:rFonts w:ascii="Times New Roman" w:hAnsi="Times New Roman" w:cs="Times New Roman"/>
        </w:rPr>
        <w:t xml:space="preserve"> </w:t>
      </w:r>
      <w:r w:rsidR="00AB59D2" w:rsidRPr="00FE5432">
        <w:rPr>
          <w:rFonts w:ascii="Times New Roman" w:hAnsi="Times New Roman" w:cs="Times New Roman"/>
        </w:rPr>
        <w:t>(93).</w:t>
      </w:r>
      <w:r w:rsidR="00E90C8F">
        <w:rPr>
          <w:rFonts w:ascii="Times New Roman" w:hAnsi="Times New Roman" w:cs="Times New Roman"/>
        </w:rPr>
        <w:t xml:space="preserve"> </w:t>
      </w:r>
      <w:r w:rsidR="00D727E0" w:rsidRPr="00FE5432">
        <w:rPr>
          <w:rFonts w:ascii="Times New Roman" w:hAnsi="Times New Roman" w:cs="Times New Roman"/>
        </w:rPr>
        <w:t xml:space="preserve">As such, </w:t>
      </w:r>
      <w:r w:rsidR="00582635" w:rsidRPr="00FE5432">
        <w:rPr>
          <w:rFonts w:ascii="Times New Roman" w:hAnsi="Times New Roman" w:cs="Times New Roman"/>
        </w:rPr>
        <w:t xml:space="preserve">Walker considered it unnecessary to </w:t>
      </w:r>
      <w:r w:rsidR="00740889" w:rsidRPr="00FE5432">
        <w:rPr>
          <w:rFonts w:ascii="Times New Roman" w:hAnsi="Times New Roman" w:cs="Times New Roman"/>
        </w:rPr>
        <w:t>introduce an amendment, but committed ‘</w:t>
      </w:r>
      <w:r w:rsidR="00D727E0" w:rsidRPr="00FE5432">
        <w:rPr>
          <w:rFonts w:ascii="Times New Roman" w:hAnsi="Times New Roman" w:cs="Times New Roman"/>
        </w:rPr>
        <w:t xml:space="preserve">to write to her [Haigh] when that [releasing of funds] has been agreed’ (93). </w:t>
      </w:r>
      <w:r w:rsidR="00921EE3" w:rsidRPr="00FE5432">
        <w:rPr>
          <w:rFonts w:ascii="Times New Roman" w:hAnsi="Times New Roman" w:cs="Times New Roman"/>
        </w:rPr>
        <w:t>W</w:t>
      </w:r>
      <w:r w:rsidR="00D727E0" w:rsidRPr="00FE5432">
        <w:rPr>
          <w:rFonts w:ascii="Times New Roman" w:hAnsi="Times New Roman" w:cs="Times New Roman"/>
        </w:rPr>
        <w:t>ithdr</w:t>
      </w:r>
      <w:r w:rsidR="00921EE3" w:rsidRPr="00FE5432">
        <w:rPr>
          <w:rFonts w:ascii="Times New Roman" w:hAnsi="Times New Roman" w:cs="Times New Roman"/>
        </w:rPr>
        <w:t>a</w:t>
      </w:r>
      <w:r w:rsidR="00D727E0" w:rsidRPr="00FE5432">
        <w:rPr>
          <w:rFonts w:ascii="Times New Roman" w:hAnsi="Times New Roman" w:cs="Times New Roman"/>
        </w:rPr>
        <w:t>w</w:t>
      </w:r>
      <w:r w:rsidR="00921EE3" w:rsidRPr="00FE5432">
        <w:rPr>
          <w:rFonts w:ascii="Times New Roman" w:hAnsi="Times New Roman" w:cs="Times New Roman"/>
        </w:rPr>
        <w:t>ing</w:t>
      </w:r>
      <w:r w:rsidR="00D727E0" w:rsidRPr="00FE5432">
        <w:rPr>
          <w:rFonts w:ascii="Times New Roman" w:hAnsi="Times New Roman" w:cs="Times New Roman"/>
        </w:rPr>
        <w:t xml:space="preserve"> her motion</w:t>
      </w:r>
      <w:r w:rsidR="00921EE3" w:rsidRPr="00FE5432">
        <w:rPr>
          <w:rFonts w:ascii="Times New Roman" w:hAnsi="Times New Roman" w:cs="Times New Roman"/>
        </w:rPr>
        <w:t>, t</w:t>
      </w:r>
      <w:r w:rsidR="001F7763" w:rsidRPr="00FE5432">
        <w:rPr>
          <w:rFonts w:ascii="Times New Roman" w:hAnsi="Times New Roman" w:cs="Times New Roman"/>
        </w:rPr>
        <w:t xml:space="preserve">his example demonstrates how </w:t>
      </w:r>
      <w:r w:rsidR="00921EE3" w:rsidRPr="00FE5432">
        <w:rPr>
          <w:rFonts w:ascii="Times New Roman" w:hAnsi="Times New Roman" w:cs="Times New Roman"/>
        </w:rPr>
        <w:t>Haigh exerted</w:t>
      </w:r>
      <w:r w:rsidR="001F7763" w:rsidRPr="00FE5432">
        <w:rPr>
          <w:rFonts w:ascii="Times New Roman" w:hAnsi="Times New Roman" w:cs="Times New Roman"/>
        </w:rPr>
        <w:t xml:space="preserve"> soft power influence</w:t>
      </w:r>
      <w:r w:rsidR="00E90C8F">
        <w:rPr>
          <w:rFonts w:ascii="Times New Roman" w:hAnsi="Times New Roman" w:cs="Times New Roman"/>
        </w:rPr>
        <w:t xml:space="preserve"> (</w:t>
      </w:r>
      <w:r w:rsidR="00AE30CA" w:rsidRPr="00FE5432">
        <w:rPr>
          <w:rFonts w:ascii="Times New Roman" w:hAnsi="Times New Roman" w:cs="Times New Roman"/>
        </w:rPr>
        <w:t xml:space="preserve">misleadingly </w:t>
      </w:r>
      <w:r w:rsidR="001F7763" w:rsidRPr="00FE5432">
        <w:rPr>
          <w:rFonts w:ascii="Times New Roman" w:hAnsi="Times New Roman" w:cs="Times New Roman"/>
        </w:rPr>
        <w:t xml:space="preserve">reflected </w:t>
      </w:r>
      <w:r w:rsidR="00582635" w:rsidRPr="00FE5432">
        <w:rPr>
          <w:rFonts w:ascii="Times New Roman" w:hAnsi="Times New Roman" w:cs="Times New Roman"/>
        </w:rPr>
        <w:t>quantitatively</w:t>
      </w:r>
      <w:r w:rsidR="001F7763" w:rsidRPr="00FE5432">
        <w:rPr>
          <w:rFonts w:ascii="Times New Roman" w:hAnsi="Times New Roman" w:cs="Times New Roman"/>
        </w:rPr>
        <w:t xml:space="preserve"> </w:t>
      </w:r>
      <w:r w:rsidR="00BD498C" w:rsidRPr="00FE5432">
        <w:rPr>
          <w:rFonts w:ascii="Times New Roman" w:hAnsi="Times New Roman" w:cs="Times New Roman"/>
        </w:rPr>
        <w:t>as</w:t>
      </w:r>
      <w:r w:rsidR="00753077" w:rsidRPr="00FE5432">
        <w:rPr>
          <w:rFonts w:ascii="Times New Roman" w:hAnsi="Times New Roman" w:cs="Times New Roman"/>
        </w:rPr>
        <w:t xml:space="preserve"> non-government failure</w:t>
      </w:r>
      <w:r w:rsidR="00E90C8F">
        <w:rPr>
          <w:rFonts w:ascii="Times New Roman" w:hAnsi="Times New Roman" w:cs="Times New Roman"/>
        </w:rPr>
        <w:t xml:space="preserve">) </w:t>
      </w:r>
      <w:r w:rsidR="001F7763" w:rsidRPr="00FE5432">
        <w:rPr>
          <w:rFonts w:ascii="Times New Roman" w:hAnsi="Times New Roman" w:cs="Times New Roman"/>
        </w:rPr>
        <w:t xml:space="preserve">by </w:t>
      </w:r>
      <w:r w:rsidR="00921EE3" w:rsidRPr="00FE5432">
        <w:rPr>
          <w:rFonts w:ascii="Times New Roman" w:hAnsi="Times New Roman" w:cs="Times New Roman"/>
        </w:rPr>
        <w:t>clarifying</w:t>
      </w:r>
      <w:r w:rsidR="001F7763" w:rsidRPr="00FE5432">
        <w:rPr>
          <w:rFonts w:ascii="Times New Roman" w:hAnsi="Times New Roman" w:cs="Times New Roman"/>
        </w:rPr>
        <w:t xml:space="preserve"> important issues on record and </w:t>
      </w:r>
      <w:r w:rsidR="00921EE3" w:rsidRPr="00FE5432">
        <w:rPr>
          <w:rFonts w:ascii="Times New Roman" w:hAnsi="Times New Roman" w:cs="Times New Roman"/>
        </w:rPr>
        <w:t xml:space="preserve">securing </w:t>
      </w:r>
      <w:r w:rsidR="00582635" w:rsidRPr="00FE5432">
        <w:rPr>
          <w:rFonts w:ascii="Times New Roman" w:hAnsi="Times New Roman" w:cs="Times New Roman"/>
        </w:rPr>
        <w:t>undertaking</w:t>
      </w:r>
      <w:r w:rsidR="00921EE3" w:rsidRPr="00FE5432">
        <w:rPr>
          <w:rFonts w:ascii="Times New Roman" w:hAnsi="Times New Roman" w:cs="Times New Roman"/>
        </w:rPr>
        <w:t>s</w:t>
      </w:r>
      <w:r w:rsidR="00582635" w:rsidRPr="00FE5432">
        <w:rPr>
          <w:rFonts w:ascii="Times New Roman" w:hAnsi="Times New Roman" w:cs="Times New Roman"/>
        </w:rPr>
        <w:t>.</w:t>
      </w:r>
    </w:p>
    <w:p w14:paraId="75BA1073" w14:textId="095F6B3D" w:rsidR="00B64EDD" w:rsidRPr="00FE5432" w:rsidRDefault="00B64EDD" w:rsidP="00FE543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51B89D0" w14:textId="59D9BE82" w:rsidR="00D727E0" w:rsidRPr="00FE5432" w:rsidRDefault="00582635" w:rsidP="00FE5432">
      <w:pPr>
        <w:spacing w:line="480" w:lineRule="auto"/>
        <w:ind w:firstLine="360"/>
        <w:rPr>
          <w:rFonts w:ascii="Times New Roman" w:hAnsi="Times New Roman" w:cs="Times New Roman"/>
        </w:rPr>
      </w:pPr>
      <w:r w:rsidRPr="00FE5432">
        <w:rPr>
          <w:rFonts w:ascii="Times New Roman" w:hAnsi="Times New Roman" w:cs="Times New Roman"/>
        </w:rPr>
        <w:t xml:space="preserve">In Holyrood’s committee, </w:t>
      </w:r>
      <w:r w:rsidR="00C94E35" w:rsidRPr="00FE5432">
        <w:rPr>
          <w:rFonts w:ascii="Times New Roman" w:hAnsi="Times New Roman" w:cs="Times New Roman"/>
        </w:rPr>
        <w:t xml:space="preserve">Mark </w:t>
      </w:r>
      <w:proofErr w:type="spellStart"/>
      <w:r w:rsidR="00C94E35" w:rsidRPr="00FE5432">
        <w:rPr>
          <w:rFonts w:ascii="Times New Roman" w:hAnsi="Times New Roman" w:cs="Times New Roman"/>
        </w:rPr>
        <w:t>Ruskell</w:t>
      </w:r>
      <w:proofErr w:type="spellEnd"/>
      <w:r w:rsidR="006C2C9E">
        <w:rPr>
          <w:rFonts w:ascii="Times New Roman" w:hAnsi="Times New Roman" w:cs="Times New Roman"/>
        </w:rPr>
        <w:t xml:space="preserve"> (Green) </w:t>
      </w:r>
      <w:r w:rsidR="00C94E35" w:rsidRPr="00FE5432">
        <w:rPr>
          <w:rFonts w:ascii="Times New Roman" w:hAnsi="Times New Roman" w:cs="Times New Roman"/>
        </w:rPr>
        <w:t>move</w:t>
      </w:r>
      <w:r w:rsidRPr="00FE5432">
        <w:rPr>
          <w:rFonts w:ascii="Times New Roman" w:hAnsi="Times New Roman" w:cs="Times New Roman"/>
        </w:rPr>
        <w:t>d</w:t>
      </w:r>
      <w:r w:rsidR="00C94E35" w:rsidRPr="00FE5432">
        <w:rPr>
          <w:rFonts w:ascii="Times New Roman" w:hAnsi="Times New Roman" w:cs="Times New Roman"/>
        </w:rPr>
        <w:t xml:space="preserve"> an amendment </w:t>
      </w:r>
      <w:r w:rsidR="00D728AC" w:rsidRPr="00FE5432">
        <w:rPr>
          <w:rFonts w:ascii="Times New Roman" w:hAnsi="Times New Roman" w:cs="Times New Roman"/>
        </w:rPr>
        <w:t xml:space="preserve">to </w:t>
      </w:r>
      <w:r w:rsidR="006F6350" w:rsidRPr="00FE5432">
        <w:rPr>
          <w:rFonts w:ascii="Times New Roman" w:hAnsi="Times New Roman" w:cs="Times New Roman"/>
        </w:rPr>
        <w:t xml:space="preserve">allow asylum seekers to stand as candidates </w:t>
      </w:r>
      <w:r w:rsidR="00A43AA2">
        <w:rPr>
          <w:rFonts w:ascii="Times New Roman" w:hAnsi="Times New Roman" w:cs="Times New Roman"/>
        </w:rPr>
        <w:t>(</w:t>
      </w:r>
      <w:r w:rsidR="001C444B">
        <w:rPr>
          <w:rFonts w:ascii="Times New Roman" w:hAnsi="Times New Roman" w:cs="Times New Roman"/>
        </w:rPr>
        <w:t>Scottish Parliament, 2021</w:t>
      </w:r>
      <w:r w:rsidR="00E81743">
        <w:rPr>
          <w:rFonts w:ascii="Times New Roman" w:hAnsi="Times New Roman" w:cs="Times New Roman"/>
        </w:rPr>
        <w:t>; 2019</w:t>
      </w:r>
      <w:r w:rsidR="001C444B">
        <w:rPr>
          <w:rFonts w:ascii="Times New Roman" w:hAnsi="Times New Roman" w:cs="Times New Roman"/>
        </w:rPr>
        <w:t>)</w:t>
      </w:r>
      <w:r w:rsidR="00692276" w:rsidRPr="00FE5432">
        <w:rPr>
          <w:rFonts w:ascii="Times New Roman" w:hAnsi="Times New Roman" w:cs="Times New Roman"/>
        </w:rPr>
        <w:t xml:space="preserve">. </w:t>
      </w:r>
      <w:proofErr w:type="spellStart"/>
      <w:r w:rsidR="00C27F8C" w:rsidRPr="00FE5432">
        <w:rPr>
          <w:rFonts w:ascii="Times New Roman" w:hAnsi="Times New Roman" w:cs="Times New Roman"/>
        </w:rPr>
        <w:t>Ruskell</w:t>
      </w:r>
      <w:proofErr w:type="spellEnd"/>
      <w:r w:rsidR="00692276" w:rsidRPr="00FE5432">
        <w:rPr>
          <w:rFonts w:ascii="Times New Roman" w:hAnsi="Times New Roman" w:cs="Times New Roman"/>
        </w:rPr>
        <w:t xml:space="preserve"> </w:t>
      </w:r>
      <w:r w:rsidR="00C27F8C" w:rsidRPr="00FE5432">
        <w:rPr>
          <w:rFonts w:ascii="Times New Roman" w:hAnsi="Times New Roman" w:cs="Times New Roman"/>
        </w:rPr>
        <w:t>was</w:t>
      </w:r>
      <w:r w:rsidR="006F6350" w:rsidRPr="00FE5432">
        <w:rPr>
          <w:rFonts w:ascii="Times New Roman" w:hAnsi="Times New Roman" w:cs="Times New Roman"/>
        </w:rPr>
        <w:t xml:space="preserve"> resisted by the </w:t>
      </w:r>
      <w:r w:rsidR="003E36CD" w:rsidRPr="00FE5432">
        <w:rPr>
          <w:rFonts w:ascii="Times New Roman" w:hAnsi="Times New Roman" w:cs="Times New Roman"/>
        </w:rPr>
        <w:t>Secretary</w:t>
      </w:r>
      <w:r w:rsidR="00692276" w:rsidRPr="00FE5432">
        <w:rPr>
          <w:rFonts w:ascii="Times New Roman" w:hAnsi="Times New Roman" w:cs="Times New Roman"/>
        </w:rPr>
        <w:t xml:space="preserve">, Michael Russell, </w:t>
      </w:r>
      <w:r w:rsidR="007942ED" w:rsidRPr="00FE5432">
        <w:rPr>
          <w:rFonts w:ascii="Times New Roman" w:hAnsi="Times New Roman" w:cs="Times New Roman"/>
        </w:rPr>
        <w:t xml:space="preserve">but </w:t>
      </w:r>
      <w:r w:rsidR="006F6350" w:rsidRPr="00FE5432">
        <w:rPr>
          <w:rFonts w:ascii="Times New Roman" w:hAnsi="Times New Roman" w:cs="Times New Roman"/>
        </w:rPr>
        <w:t>elicit</w:t>
      </w:r>
      <w:r w:rsidR="005D6B98" w:rsidRPr="00FE5432">
        <w:rPr>
          <w:rFonts w:ascii="Times New Roman" w:hAnsi="Times New Roman" w:cs="Times New Roman"/>
        </w:rPr>
        <w:t>ed</w:t>
      </w:r>
      <w:r w:rsidR="006F6350" w:rsidRPr="00FE5432">
        <w:rPr>
          <w:rFonts w:ascii="Times New Roman" w:hAnsi="Times New Roman" w:cs="Times New Roman"/>
        </w:rPr>
        <w:t xml:space="preserve"> significant assurances. </w:t>
      </w:r>
      <w:r w:rsidR="007F3C2B" w:rsidRPr="00FE5432">
        <w:rPr>
          <w:rFonts w:ascii="Times New Roman" w:hAnsi="Times New Roman" w:cs="Times New Roman"/>
        </w:rPr>
        <w:t>Russell</w:t>
      </w:r>
      <w:r w:rsidR="006F6350" w:rsidRPr="00FE5432">
        <w:rPr>
          <w:rFonts w:ascii="Times New Roman" w:hAnsi="Times New Roman" w:cs="Times New Roman"/>
        </w:rPr>
        <w:t xml:space="preserve"> </w:t>
      </w:r>
      <w:r w:rsidR="00BA3E76" w:rsidRPr="00FE5432">
        <w:rPr>
          <w:rFonts w:ascii="Times New Roman" w:hAnsi="Times New Roman" w:cs="Times New Roman"/>
        </w:rPr>
        <w:t>was</w:t>
      </w:r>
      <w:r w:rsidR="006F6350" w:rsidRPr="00FE5432">
        <w:rPr>
          <w:rFonts w:ascii="Times New Roman" w:hAnsi="Times New Roman" w:cs="Times New Roman"/>
        </w:rPr>
        <w:t xml:space="preserve"> ‘willing, as are my officials, to approach the Home Office in the light of today’s debate’ to consider the amendment</w:t>
      </w:r>
      <w:r w:rsidR="00DC499C">
        <w:rPr>
          <w:rFonts w:ascii="Times New Roman" w:hAnsi="Times New Roman" w:cs="Times New Roman"/>
        </w:rPr>
        <w:t xml:space="preserve"> (</w:t>
      </w:r>
      <w:r w:rsidR="004B7FA1">
        <w:rPr>
          <w:rFonts w:ascii="Times New Roman" w:hAnsi="Times New Roman" w:cs="Times New Roman"/>
        </w:rPr>
        <w:t>Scottish Parliament, 2021</w:t>
      </w:r>
      <w:r w:rsidR="00DC499C">
        <w:rPr>
          <w:rFonts w:ascii="Times New Roman" w:hAnsi="Times New Roman" w:cs="Times New Roman"/>
        </w:rPr>
        <w:t>)</w:t>
      </w:r>
      <w:r w:rsidR="006F6350" w:rsidRPr="00FE5432">
        <w:rPr>
          <w:rFonts w:ascii="Times New Roman" w:hAnsi="Times New Roman" w:cs="Times New Roman"/>
        </w:rPr>
        <w:t xml:space="preserve">. Particularly revealingly, </w:t>
      </w:r>
      <w:r w:rsidR="006B4135" w:rsidRPr="00FE5432">
        <w:rPr>
          <w:rFonts w:ascii="Times New Roman" w:hAnsi="Times New Roman" w:cs="Times New Roman"/>
        </w:rPr>
        <w:t>Russell</w:t>
      </w:r>
      <w:r w:rsidR="006F6350" w:rsidRPr="00FE5432">
        <w:rPr>
          <w:rFonts w:ascii="Times New Roman" w:hAnsi="Times New Roman" w:cs="Times New Roman"/>
        </w:rPr>
        <w:t xml:space="preserve"> states</w:t>
      </w:r>
      <w:r w:rsidR="006B4135" w:rsidRPr="00FE5432">
        <w:rPr>
          <w:rFonts w:ascii="Times New Roman" w:hAnsi="Times New Roman" w:cs="Times New Roman"/>
        </w:rPr>
        <w:t>:</w:t>
      </w:r>
      <w:r w:rsidR="006F6350" w:rsidRPr="00FE5432">
        <w:rPr>
          <w:rFonts w:ascii="Times New Roman" w:hAnsi="Times New Roman" w:cs="Times New Roman"/>
        </w:rPr>
        <w:t xml:space="preserve"> ‘if Mr </w:t>
      </w:r>
      <w:proofErr w:type="spellStart"/>
      <w:r w:rsidR="006F6350" w:rsidRPr="00FE5432">
        <w:rPr>
          <w:rFonts w:ascii="Times New Roman" w:hAnsi="Times New Roman" w:cs="Times New Roman"/>
        </w:rPr>
        <w:t>Ruskell</w:t>
      </w:r>
      <w:proofErr w:type="spellEnd"/>
      <w:r w:rsidR="006F6350" w:rsidRPr="00FE5432">
        <w:rPr>
          <w:rFonts w:ascii="Times New Roman" w:hAnsi="Times New Roman" w:cs="Times New Roman"/>
        </w:rPr>
        <w:t xml:space="preserve"> is not going to press these amendments</w:t>
      </w:r>
      <w:r w:rsidR="002210CF">
        <w:rPr>
          <w:rFonts w:ascii="Times New Roman" w:hAnsi="Times New Roman" w:cs="Times New Roman"/>
        </w:rPr>
        <w:t xml:space="preserve">’, he will </w:t>
      </w:r>
      <w:r w:rsidR="006F6350" w:rsidRPr="00FE5432">
        <w:rPr>
          <w:rFonts w:ascii="Times New Roman" w:hAnsi="Times New Roman" w:cs="Times New Roman"/>
        </w:rPr>
        <w:t>‘commit to l</w:t>
      </w:r>
      <w:r w:rsidR="00692276" w:rsidRPr="00FE5432">
        <w:rPr>
          <w:rFonts w:ascii="Times New Roman" w:hAnsi="Times New Roman" w:cs="Times New Roman"/>
        </w:rPr>
        <w:t>o</w:t>
      </w:r>
      <w:r w:rsidR="006F6350" w:rsidRPr="00FE5432">
        <w:rPr>
          <w:rFonts w:ascii="Times New Roman" w:hAnsi="Times New Roman" w:cs="Times New Roman"/>
        </w:rPr>
        <w:t xml:space="preserve">dging such an </w:t>
      </w:r>
      <w:r w:rsidR="006F6350" w:rsidRPr="00FE5432">
        <w:rPr>
          <w:rFonts w:ascii="Times New Roman" w:hAnsi="Times New Roman" w:cs="Times New Roman"/>
        </w:rPr>
        <w:lastRenderedPageBreak/>
        <w:t>amendment at Stage 3</w:t>
      </w:r>
      <w:r w:rsidR="00692276" w:rsidRPr="00FE5432">
        <w:rPr>
          <w:rFonts w:ascii="Times New Roman" w:hAnsi="Times New Roman" w:cs="Times New Roman"/>
        </w:rPr>
        <w:t>’</w:t>
      </w:r>
      <w:r w:rsidR="00E00AAE">
        <w:rPr>
          <w:rFonts w:ascii="Times New Roman" w:hAnsi="Times New Roman" w:cs="Times New Roman"/>
        </w:rPr>
        <w:t xml:space="preserve"> (</w:t>
      </w:r>
      <w:r w:rsidR="00402A55">
        <w:rPr>
          <w:rFonts w:ascii="Times New Roman" w:hAnsi="Times New Roman" w:cs="Times New Roman"/>
        </w:rPr>
        <w:t>Scottish Parliament, 2021</w:t>
      </w:r>
      <w:r w:rsidR="00E00AAE">
        <w:rPr>
          <w:rFonts w:ascii="Times New Roman" w:hAnsi="Times New Roman" w:cs="Times New Roman"/>
        </w:rPr>
        <w:t>)</w:t>
      </w:r>
      <w:r w:rsidR="006F6350" w:rsidRPr="00FE5432">
        <w:rPr>
          <w:rFonts w:ascii="Times New Roman" w:hAnsi="Times New Roman" w:cs="Times New Roman"/>
        </w:rPr>
        <w:t xml:space="preserve">. </w:t>
      </w:r>
      <w:r w:rsidR="00692276" w:rsidRPr="00FE5432">
        <w:rPr>
          <w:rFonts w:ascii="Times New Roman" w:hAnsi="Times New Roman" w:cs="Times New Roman"/>
        </w:rPr>
        <w:t xml:space="preserve">Clearly, whilst this amendment </w:t>
      </w:r>
      <w:r w:rsidR="00706D85" w:rsidRPr="00FE5432">
        <w:rPr>
          <w:rFonts w:ascii="Times New Roman" w:hAnsi="Times New Roman" w:cs="Times New Roman"/>
        </w:rPr>
        <w:t>would</w:t>
      </w:r>
      <w:r w:rsidR="00692276" w:rsidRPr="00FE5432">
        <w:rPr>
          <w:rFonts w:ascii="Times New Roman" w:hAnsi="Times New Roman" w:cs="Times New Roman"/>
        </w:rPr>
        <w:t xml:space="preserve"> eventually be lodged </w:t>
      </w:r>
      <w:r w:rsidR="006150D8">
        <w:rPr>
          <w:rFonts w:ascii="Times New Roman" w:hAnsi="Times New Roman" w:cs="Times New Roman"/>
        </w:rPr>
        <w:t>with</w:t>
      </w:r>
      <w:r w:rsidR="00692276" w:rsidRPr="00FE5432">
        <w:rPr>
          <w:rFonts w:ascii="Times New Roman" w:hAnsi="Times New Roman" w:cs="Times New Roman"/>
        </w:rPr>
        <w:t xml:space="preserve"> minister</w:t>
      </w:r>
      <w:r w:rsidR="006150D8">
        <w:rPr>
          <w:rFonts w:ascii="Times New Roman" w:hAnsi="Times New Roman" w:cs="Times New Roman"/>
        </w:rPr>
        <w:t>ial</w:t>
      </w:r>
      <w:r w:rsidR="00692276" w:rsidRPr="00FE5432">
        <w:rPr>
          <w:rFonts w:ascii="Times New Roman" w:hAnsi="Times New Roman" w:cs="Times New Roman"/>
        </w:rPr>
        <w:t xml:space="preserve"> </w:t>
      </w:r>
      <w:r w:rsidR="006150D8">
        <w:rPr>
          <w:rFonts w:ascii="Times New Roman" w:hAnsi="Times New Roman" w:cs="Times New Roman"/>
        </w:rPr>
        <w:t>backing</w:t>
      </w:r>
      <w:r w:rsidR="00692276" w:rsidRPr="00FE5432">
        <w:rPr>
          <w:rFonts w:ascii="Times New Roman" w:hAnsi="Times New Roman" w:cs="Times New Roman"/>
        </w:rPr>
        <w:t>, the impetus originated in committee</w:t>
      </w:r>
      <w:r w:rsidR="00706D85" w:rsidRPr="00FE5432">
        <w:rPr>
          <w:rFonts w:ascii="Times New Roman" w:hAnsi="Times New Roman" w:cs="Times New Roman"/>
        </w:rPr>
        <w:t>.</w:t>
      </w:r>
    </w:p>
    <w:p w14:paraId="1B01C1A3" w14:textId="2D6E5A51" w:rsidR="006F6350" w:rsidRPr="00FE5432" w:rsidRDefault="006F6350" w:rsidP="00FE5432">
      <w:pPr>
        <w:spacing w:line="480" w:lineRule="auto"/>
        <w:rPr>
          <w:rFonts w:ascii="Times New Roman" w:hAnsi="Times New Roman" w:cs="Times New Roman"/>
        </w:rPr>
      </w:pPr>
    </w:p>
    <w:p w14:paraId="4B684A4A" w14:textId="19C682E9" w:rsidR="00D727E0" w:rsidRPr="00EB2210" w:rsidRDefault="00220D8D" w:rsidP="00EB2210">
      <w:pPr>
        <w:spacing w:line="480" w:lineRule="auto"/>
        <w:ind w:firstLine="360"/>
        <w:rPr>
          <w:rFonts w:ascii="Times New Roman" w:hAnsi="Times New Roman" w:cs="Times New Roman"/>
        </w:rPr>
      </w:pPr>
      <w:r w:rsidRPr="00FE5432">
        <w:rPr>
          <w:rFonts w:ascii="Times New Roman" w:hAnsi="Times New Roman" w:cs="Times New Roman"/>
        </w:rPr>
        <w:t>Finally,</w:t>
      </w:r>
      <w:r w:rsidR="00F35121" w:rsidRPr="00FE5432">
        <w:rPr>
          <w:rFonts w:ascii="Times New Roman" w:hAnsi="Times New Roman" w:cs="Times New Roman"/>
        </w:rPr>
        <w:t xml:space="preserve"> </w:t>
      </w:r>
      <w:r w:rsidR="006F6350" w:rsidRPr="00FE5432">
        <w:rPr>
          <w:rFonts w:ascii="Times New Roman" w:hAnsi="Times New Roman" w:cs="Times New Roman"/>
        </w:rPr>
        <w:t>‘unsuccessful’ amendments may actually have been the result of large majority committee agreement</w:t>
      </w:r>
      <w:r w:rsidR="005120F2" w:rsidRPr="00FE5432">
        <w:rPr>
          <w:rFonts w:ascii="Times New Roman" w:hAnsi="Times New Roman" w:cs="Times New Roman"/>
        </w:rPr>
        <w:t>. T</w:t>
      </w:r>
      <w:r w:rsidR="006F6350" w:rsidRPr="00FE5432">
        <w:rPr>
          <w:rFonts w:ascii="Times New Roman" w:hAnsi="Times New Roman" w:cs="Times New Roman"/>
        </w:rPr>
        <w:t xml:space="preserve">he </w:t>
      </w:r>
      <w:r w:rsidR="00A6288C" w:rsidRPr="00FE5432">
        <w:rPr>
          <w:rFonts w:ascii="Times New Roman" w:hAnsi="Times New Roman" w:cs="Times New Roman"/>
        </w:rPr>
        <w:t xml:space="preserve">Holyrood </w:t>
      </w:r>
      <w:r w:rsidR="006F6350" w:rsidRPr="00FE5432">
        <w:rPr>
          <w:rFonts w:ascii="Times New Roman" w:hAnsi="Times New Roman" w:cs="Times New Roman"/>
        </w:rPr>
        <w:t>committee</w:t>
      </w:r>
      <w:r w:rsidR="00DF3CF2" w:rsidRPr="00FE5432">
        <w:rPr>
          <w:rFonts w:ascii="Times New Roman" w:hAnsi="Times New Roman" w:cs="Times New Roman"/>
        </w:rPr>
        <w:t xml:space="preserve"> (not</w:t>
      </w:r>
      <w:r w:rsidR="006F6350" w:rsidRPr="00FE5432">
        <w:rPr>
          <w:rFonts w:ascii="Times New Roman" w:hAnsi="Times New Roman" w:cs="Times New Roman"/>
        </w:rPr>
        <w:t xml:space="preserve"> </w:t>
      </w:r>
      <w:r w:rsidR="00DF3CF2" w:rsidRPr="00FE5432">
        <w:rPr>
          <w:rFonts w:ascii="Times New Roman" w:hAnsi="Times New Roman" w:cs="Times New Roman"/>
        </w:rPr>
        <w:t xml:space="preserve">Russell) </w:t>
      </w:r>
      <w:r w:rsidR="006F6350" w:rsidRPr="00FE5432">
        <w:rPr>
          <w:rFonts w:ascii="Times New Roman" w:hAnsi="Times New Roman" w:cs="Times New Roman"/>
        </w:rPr>
        <w:t xml:space="preserve">pushed for withdrawal of </w:t>
      </w:r>
      <w:proofErr w:type="spellStart"/>
      <w:r w:rsidR="005120F2" w:rsidRPr="00FE5432">
        <w:rPr>
          <w:rFonts w:ascii="Times New Roman" w:hAnsi="Times New Roman" w:cs="Times New Roman"/>
        </w:rPr>
        <w:t>Ruskell’s</w:t>
      </w:r>
      <w:proofErr w:type="spellEnd"/>
      <w:r w:rsidR="005120F2" w:rsidRPr="00FE5432">
        <w:rPr>
          <w:rFonts w:ascii="Times New Roman" w:hAnsi="Times New Roman" w:cs="Times New Roman"/>
        </w:rPr>
        <w:t xml:space="preserve"> </w:t>
      </w:r>
      <w:r w:rsidR="006F6350" w:rsidRPr="00FE5432">
        <w:rPr>
          <w:rFonts w:ascii="Times New Roman" w:hAnsi="Times New Roman" w:cs="Times New Roman"/>
        </w:rPr>
        <w:t>amendment on decreasing the minimum age for parliamentary candidates</w:t>
      </w:r>
      <w:r w:rsidR="00C12058">
        <w:rPr>
          <w:rFonts w:ascii="Times New Roman" w:hAnsi="Times New Roman" w:cs="Times New Roman"/>
        </w:rPr>
        <w:t xml:space="preserve"> (</w:t>
      </w:r>
      <w:r w:rsidR="000821A8">
        <w:rPr>
          <w:rFonts w:ascii="Times New Roman" w:hAnsi="Times New Roman" w:cs="Times New Roman"/>
        </w:rPr>
        <w:t>Scottish Parliament, 2021</w:t>
      </w:r>
      <w:r w:rsidR="00C12058">
        <w:rPr>
          <w:rFonts w:ascii="Times New Roman" w:hAnsi="Times New Roman" w:cs="Times New Roman"/>
        </w:rPr>
        <w:t>)</w:t>
      </w:r>
      <w:r w:rsidR="006F6350" w:rsidRPr="00FE5432">
        <w:rPr>
          <w:rFonts w:ascii="Times New Roman" w:hAnsi="Times New Roman" w:cs="Times New Roman"/>
        </w:rPr>
        <w:t>.</w:t>
      </w:r>
      <w:r w:rsidR="0035753B" w:rsidRPr="00FE5432">
        <w:rPr>
          <w:rFonts w:ascii="Times New Roman" w:hAnsi="Times New Roman" w:cs="Times New Roman"/>
        </w:rPr>
        <w:t xml:space="preserve"> </w:t>
      </w:r>
      <w:r w:rsidR="005120F2" w:rsidRPr="00FE5432">
        <w:rPr>
          <w:rFonts w:ascii="Times New Roman" w:hAnsi="Times New Roman" w:cs="Times New Roman"/>
        </w:rPr>
        <w:t xml:space="preserve">Gil </w:t>
      </w:r>
      <w:r w:rsidR="0035753B" w:rsidRPr="00FE5432">
        <w:rPr>
          <w:rFonts w:ascii="Times New Roman" w:hAnsi="Times New Roman" w:cs="Times New Roman"/>
        </w:rPr>
        <w:t>Paterson</w:t>
      </w:r>
      <w:r w:rsidR="005120F2" w:rsidRPr="00FE5432">
        <w:rPr>
          <w:rFonts w:ascii="Times New Roman" w:hAnsi="Times New Roman" w:cs="Times New Roman"/>
        </w:rPr>
        <w:t xml:space="preserve"> (</w:t>
      </w:r>
      <w:r w:rsidR="00D53196" w:rsidRPr="00FE5432">
        <w:rPr>
          <w:rFonts w:ascii="Times New Roman" w:hAnsi="Times New Roman" w:cs="Times New Roman"/>
        </w:rPr>
        <w:t>government</w:t>
      </w:r>
      <w:r w:rsidR="005120F2" w:rsidRPr="00FE5432">
        <w:rPr>
          <w:rFonts w:ascii="Times New Roman" w:hAnsi="Times New Roman" w:cs="Times New Roman"/>
        </w:rPr>
        <w:t xml:space="preserve"> backbencher) </w:t>
      </w:r>
      <w:r w:rsidR="0035753B" w:rsidRPr="00FE5432">
        <w:rPr>
          <w:rFonts w:ascii="Times New Roman" w:hAnsi="Times New Roman" w:cs="Times New Roman"/>
        </w:rPr>
        <w:t>argued ‘young people lack experience’</w:t>
      </w:r>
      <w:r w:rsidR="005120F2" w:rsidRPr="00FE5432">
        <w:rPr>
          <w:rFonts w:ascii="Times New Roman" w:hAnsi="Times New Roman" w:cs="Times New Roman"/>
        </w:rPr>
        <w:t xml:space="preserve"> whilst Neil </w:t>
      </w:r>
      <w:r w:rsidR="0035753B" w:rsidRPr="00FE5432">
        <w:rPr>
          <w:rFonts w:ascii="Times New Roman" w:hAnsi="Times New Roman" w:cs="Times New Roman"/>
        </w:rPr>
        <w:t>Findl</w:t>
      </w:r>
      <w:r w:rsidR="005120F2" w:rsidRPr="00FE5432">
        <w:rPr>
          <w:rFonts w:ascii="Times New Roman" w:hAnsi="Times New Roman" w:cs="Times New Roman"/>
        </w:rPr>
        <w:t>a</w:t>
      </w:r>
      <w:r w:rsidR="0035753B" w:rsidRPr="00FE5432">
        <w:rPr>
          <w:rFonts w:ascii="Times New Roman" w:hAnsi="Times New Roman" w:cs="Times New Roman"/>
        </w:rPr>
        <w:t>y</w:t>
      </w:r>
      <w:r w:rsidR="005120F2" w:rsidRPr="00FE5432">
        <w:rPr>
          <w:rFonts w:ascii="Times New Roman" w:hAnsi="Times New Roman" w:cs="Times New Roman"/>
        </w:rPr>
        <w:t xml:space="preserve"> (Labour)</w:t>
      </w:r>
      <w:r w:rsidR="0035753B" w:rsidRPr="00FE5432">
        <w:rPr>
          <w:rFonts w:ascii="Times New Roman" w:hAnsi="Times New Roman" w:cs="Times New Roman"/>
        </w:rPr>
        <w:t xml:space="preserve"> </w:t>
      </w:r>
      <w:r w:rsidR="005120F2" w:rsidRPr="00FE5432">
        <w:rPr>
          <w:rFonts w:ascii="Times New Roman" w:hAnsi="Times New Roman" w:cs="Times New Roman"/>
        </w:rPr>
        <w:t>expressed concerns</w:t>
      </w:r>
      <w:r w:rsidR="0035753B" w:rsidRPr="00FE5432">
        <w:rPr>
          <w:rFonts w:ascii="Times New Roman" w:hAnsi="Times New Roman" w:cs="Times New Roman"/>
        </w:rPr>
        <w:t xml:space="preserve"> </w:t>
      </w:r>
      <w:r w:rsidR="00AC6D7B">
        <w:rPr>
          <w:rFonts w:ascii="Times New Roman" w:hAnsi="Times New Roman" w:cs="Times New Roman"/>
        </w:rPr>
        <w:t xml:space="preserve">about using </w:t>
      </w:r>
      <w:r w:rsidR="0035753B" w:rsidRPr="00FE5432">
        <w:rPr>
          <w:rFonts w:ascii="Times New Roman" w:hAnsi="Times New Roman" w:cs="Times New Roman"/>
        </w:rPr>
        <w:t>secondary legislation</w:t>
      </w:r>
      <w:r w:rsidR="00C12058">
        <w:rPr>
          <w:rFonts w:ascii="Times New Roman" w:hAnsi="Times New Roman" w:cs="Times New Roman"/>
        </w:rPr>
        <w:t xml:space="preserve"> (</w:t>
      </w:r>
      <w:r w:rsidR="000821A8">
        <w:rPr>
          <w:rFonts w:ascii="Times New Roman" w:hAnsi="Times New Roman" w:cs="Times New Roman"/>
        </w:rPr>
        <w:t>Scottish Parliament, 2021</w:t>
      </w:r>
      <w:r w:rsidR="00C12058">
        <w:rPr>
          <w:rFonts w:ascii="Times New Roman" w:hAnsi="Times New Roman" w:cs="Times New Roman"/>
        </w:rPr>
        <w:t>)</w:t>
      </w:r>
      <w:r w:rsidR="0035753B" w:rsidRPr="00FE5432">
        <w:rPr>
          <w:rFonts w:ascii="Times New Roman" w:hAnsi="Times New Roman" w:cs="Times New Roman"/>
        </w:rPr>
        <w:t xml:space="preserve">. </w:t>
      </w:r>
      <w:proofErr w:type="spellStart"/>
      <w:r w:rsidR="0035753B" w:rsidRPr="00FE5432">
        <w:rPr>
          <w:rFonts w:ascii="Times New Roman" w:hAnsi="Times New Roman" w:cs="Times New Roman"/>
        </w:rPr>
        <w:t>Ruskell</w:t>
      </w:r>
      <w:proofErr w:type="spellEnd"/>
      <w:r w:rsidR="0035753B" w:rsidRPr="00FE5432">
        <w:rPr>
          <w:rFonts w:ascii="Times New Roman" w:hAnsi="Times New Roman" w:cs="Times New Roman"/>
        </w:rPr>
        <w:t xml:space="preserve"> thus conceded</w:t>
      </w:r>
      <w:r w:rsidR="005120F2" w:rsidRPr="00FE5432">
        <w:rPr>
          <w:rFonts w:ascii="Times New Roman" w:hAnsi="Times New Roman" w:cs="Times New Roman"/>
        </w:rPr>
        <w:t xml:space="preserve">: </w:t>
      </w:r>
      <w:r w:rsidR="0035753B" w:rsidRPr="00FE5432">
        <w:rPr>
          <w:rFonts w:ascii="Times New Roman" w:hAnsi="Times New Roman" w:cs="Times New Roman"/>
        </w:rPr>
        <w:t xml:space="preserve">‘if the committee’s view </w:t>
      </w:r>
      <w:r w:rsidR="005120F2" w:rsidRPr="00FE5432">
        <w:rPr>
          <w:rFonts w:ascii="Times New Roman" w:hAnsi="Times New Roman" w:cs="Times New Roman"/>
        </w:rPr>
        <w:t xml:space="preserve">[is] </w:t>
      </w:r>
      <w:r w:rsidR="0035753B" w:rsidRPr="00FE5432">
        <w:rPr>
          <w:rFonts w:ascii="Times New Roman" w:hAnsi="Times New Roman" w:cs="Times New Roman"/>
        </w:rPr>
        <w:t xml:space="preserve">that the matter would be better dealt with through future </w:t>
      </w:r>
      <w:r w:rsidR="005120F2" w:rsidRPr="00FE5432">
        <w:rPr>
          <w:rFonts w:ascii="Times New Roman" w:hAnsi="Times New Roman" w:cs="Times New Roman"/>
        </w:rPr>
        <w:t>p</w:t>
      </w:r>
      <w:r w:rsidR="0035753B" w:rsidRPr="00FE5432">
        <w:rPr>
          <w:rFonts w:ascii="Times New Roman" w:hAnsi="Times New Roman" w:cs="Times New Roman"/>
        </w:rPr>
        <w:t>rimary legislation…I will</w:t>
      </w:r>
      <w:r w:rsidR="00BA3E76" w:rsidRPr="00FE5432">
        <w:rPr>
          <w:rFonts w:ascii="Times New Roman" w:hAnsi="Times New Roman" w:cs="Times New Roman"/>
        </w:rPr>
        <w:t>…</w:t>
      </w:r>
      <w:r w:rsidR="0035753B" w:rsidRPr="00FE5432">
        <w:rPr>
          <w:rFonts w:ascii="Times New Roman" w:hAnsi="Times New Roman" w:cs="Times New Roman"/>
        </w:rPr>
        <w:t xml:space="preserve">withdraw’. </w:t>
      </w:r>
      <w:r w:rsidR="00B2785F">
        <w:rPr>
          <w:rFonts w:ascii="Times New Roman" w:hAnsi="Times New Roman" w:cs="Times New Roman"/>
        </w:rPr>
        <w:t>C</w:t>
      </w:r>
      <w:r w:rsidR="005120F2" w:rsidRPr="00FE5432">
        <w:rPr>
          <w:rFonts w:ascii="Times New Roman" w:hAnsi="Times New Roman" w:cs="Times New Roman"/>
        </w:rPr>
        <w:t>onsensual deliberation evinces committee</w:t>
      </w:r>
      <w:r w:rsidR="00271C1F">
        <w:rPr>
          <w:rFonts w:ascii="Times New Roman" w:hAnsi="Times New Roman" w:cs="Times New Roman"/>
        </w:rPr>
        <w:t>—</w:t>
      </w:r>
      <w:r w:rsidR="005120F2" w:rsidRPr="00FE5432">
        <w:rPr>
          <w:rFonts w:ascii="Times New Roman" w:hAnsi="Times New Roman" w:cs="Times New Roman"/>
        </w:rPr>
        <w:t>not government</w:t>
      </w:r>
      <w:r w:rsidR="00271C1F">
        <w:rPr>
          <w:rFonts w:ascii="Times New Roman" w:hAnsi="Times New Roman" w:cs="Times New Roman"/>
        </w:rPr>
        <w:t>—</w:t>
      </w:r>
      <w:r w:rsidR="005120F2" w:rsidRPr="00FE5432">
        <w:rPr>
          <w:rFonts w:ascii="Times New Roman" w:hAnsi="Times New Roman" w:cs="Times New Roman"/>
        </w:rPr>
        <w:t>influence</w:t>
      </w:r>
      <w:r w:rsidR="00C12058">
        <w:rPr>
          <w:rFonts w:ascii="Times New Roman" w:hAnsi="Times New Roman" w:cs="Times New Roman"/>
        </w:rPr>
        <w:t xml:space="preserve"> (</w:t>
      </w:r>
      <w:r w:rsidR="000821A8">
        <w:rPr>
          <w:rFonts w:ascii="Times New Roman" w:hAnsi="Times New Roman" w:cs="Times New Roman"/>
        </w:rPr>
        <w:t>Scottish Parliament, 2021</w:t>
      </w:r>
      <w:r w:rsidR="00C12058">
        <w:rPr>
          <w:rFonts w:ascii="Times New Roman" w:hAnsi="Times New Roman" w:cs="Times New Roman"/>
        </w:rPr>
        <w:t>)</w:t>
      </w:r>
      <w:r w:rsidR="00B461D0" w:rsidRPr="00FE5432">
        <w:rPr>
          <w:rFonts w:ascii="Times New Roman" w:hAnsi="Times New Roman" w:cs="Times New Roman"/>
        </w:rPr>
        <w:t>.</w:t>
      </w:r>
    </w:p>
    <w:p w14:paraId="055E04FB" w14:textId="02F1B2C1" w:rsidR="00AE30CA" w:rsidRPr="00EB2210" w:rsidRDefault="00AE30CA" w:rsidP="00EB2210">
      <w:pPr>
        <w:spacing w:line="480" w:lineRule="auto"/>
        <w:rPr>
          <w:rFonts w:ascii="Times New Roman" w:hAnsi="Times New Roman" w:cs="Times New Roman"/>
        </w:rPr>
      </w:pPr>
    </w:p>
    <w:p w14:paraId="0D6357FB" w14:textId="2B40CFCC" w:rsidR="00AE30CA" w:rsidRPr="00EB2210" w:rsidRDefault="005120F2" w:rsidP="00EB2210">
      <w:pPr>
        <w:spacing w:line="480" w:lineRule="auto"/>
        <w:ind w:firstLine="360"/>
        <w:rPr>
          <w:rFonts w:ascii="Times New Roman" w:hAnsi="Times New Roman" w:cs="Times New Roman"/>
        </w:rPr>
      </w:pPr>
      <w:r w:rsidRPr="00EB2210">
        <w:rPr>
          <w:rFonts w:ascii="Times New Roman" w:hAnsi="Times New Roman" w:cs="Times New Roman"/>
        </w:rPr>
        <w:t xml:space="preserve">Overall, </w:t>
      </w:r>
      <w:r w:rsidR="00333BA0" w:rsidRPr="00EB2210">
        <w:rPr>
          <w:rFonts w:ascii="Times New Roman" w:hAnsi="Times New Roman" w:cs="Times New Roman"/>
        </w:rPr>
        <w:t>the cases demonstrate that</w:t>
      </w:r>
      <w:r w:rsidR="00692276" w:rsidRPr="00EB2210">
        <w:rPr>
          <w:rFonts w:ascii="Times New Roman" w:hAnsi="Times New Roman" w:cs="Times New Roman"/>
        </w:rPr>
        <w:t xml:space="preserve"> </w:t>
      </w:r>
      <w:r w:rsidR="006E7A4B" w:rsidRPr="00EB2210">
        <w:rPr>
          <w:rFonts w:ascii="Times New Roman" w:hAnsi="Times New Roman" w:cs="Times New Roman"/>
        </w:rPr>
        <w:t>members exert</w:t>
      </w:r>
      <w:r w:rsidR="00333BA0" w:rsidRPr="00EB2210">
        <w:rPr>
          <w:rFonts w:ascii="Times New Roman" w:hAnsi="Times New Roman" w:cs="Times New Roman"/>
        </w:rPr>
        <w:t>ed</w:t>
      </w:r>
      <w:r w:rsidR="006E7A4B" w:rsidRPr="00EB2210">
        <w:rPr>
          <w:rFonts w:ascii="Times New Roman" w:hAnsi="Times New Roman" w:cs="Times New Roman"/>
        </w:rPr>
        <w:t xml:space="preserve"> most influence via assurances.</w:t>
      </w:r>
      <w:r w:rsidR="00B26820" w:rsidRPr="00EB2210">
        <w:rPr>
          <w:rFonts w:ascii="Times New Roman" w:hAnsi="Times New Roman" w:cs="Times New Roman"/>
        </w:rPr>
        <w:t xml:space="preserve"> What is more detectable in the Scottish context, however, is the </w:t>
      </w:r>
      <w:r w:rsidR="008269AF" w:rsidRPr="00EB2210">
        <w:rPr>
          <w:rFonts w:ascii="Times New Roman" w:hAnsi="Times New Roman" w:cs="Times New Roman"/>
        </w:rPr>
        <w:t>rejection of</w:t>
      </w:r>
      <w:r w:rsidR="00B26820" w:rsidRPr="00EB2210">
        <w:rPr>
          <w:rFonts w:ascii="Times New Roman" w:hAnsi="Times New Roman" w:cs="Times New Roman"/>
        </w:rPr>
        <w:t xml:space="preserve"> amendments</w:t>
      </w:r>
      <w:r w:rsidR="008269AF" w:rsidRPr="00EB2210">
        <w:rPr>
          <w:rFonts w:ascii="Times New Roman" w:hAnsi="Times New Roman" w:cs="Times New Roman"/>
        </w:rPr>
        <w:t xml:space="preserve"> </w:t>
      </w:r>
      <w:r w:rsidR="00B26820" w:rsidRPr="00EB2210">
        <w:rPr>
          <w:rFonts w:ascii="Times New Roman" w:hAnsi="Times New Roman" w:cs="Times New Roman"/>
        </w:rPr>
        <w:t xml:space="preserve">by committee consensus. </w:t>
      </w:r>
    </w:p>
    <w:p w14:paraId="09EEDAB1" w14:textId="2B485BF8" w:rsidR="00092183" w:rsidRPr="00EB2210" w:rsidRDefault="00092183" w:rsidP="00EB2210">
      <w:pPr>
        <w:spacing w:line="480" w:lineRule="auto"/>
        <w:ind w:firstLine="360"/>
        <w:rPr>
          <w:rFonts w:ascii="Times New Roman" w:hAnsi="Times New Roman" w:cs="Times New Roman"/>
        </w:rPr>
      </w:pPr>
    </w:p>
    <w:p w14:paraId="11FCFE41" w14:textId="39F4ADFC" w:rsidR="00092183" w:rsidRPr="00EB2210" w:rsidRDefault="00092183" w:rsidP="00EB2210">
      <w:pPr>
        <w:spacing w:line="480" w:lineRule="auto"/>
        <w:ind w:firstLine="360"/>
        <w:rPr>
          <w:rFonts w:ascii="Times New Roman" w:hAnsi="Times New Roman" w:cs="Times New Roman"/>
          <w:b/>
          <w:bCs/>
        </w:rPr>
      </w:pPr>
      <w:r w:rsidRPr="00EB2210">
        <w:rPr>
          <w:rFonts w:ascii="Times New Roman" w:hAnsi="Times New Roman" w:cs="Times New Roman"/>
          <w:b/>
          <w:bCs/>
        </w:rPr>
        <w:t>Conclusion</w:t>
      </w:r>
    </w:p>
    <w:p w14:paraId="41F2ECD7" w14:textId="77777777" w:rsidR="001938DA" w:rsidRPr="00EB2210" w:rsidRDefault="001938DA" w:rsidP="00EB2210">
      <w:pPr>
        <w:spacing w:line="480" w:lineRule="auto"/>
        <w:rPr>
          <w:rFonts w:ascii="Times New Roman" w:hAnsi="Times New Roman" w:cs="Times New Roman"/>
        </w:rPr>
      </w:pPr>
    </w:p>
    <w:p w14:paraId="7A6B5724" w14:textId="5E8F3DD0" w:rsidR="001938DA" w:rsidRPr="00EB2210" w:rsidRDefault="00304404" w:rsidP="00EB2210">
      <w:pPr>
        <w:spacing w:line="480" w:lineRule="auto"/>
        <w:ind w:firstLine="360"/>
        <w:rPr>
          <w:rFonts w:ascii="Times New Roman" w:hAnsi="Times New Roman" w:cs="Times New Roman"/>
        </w:rPr>
      </w:pPr>
      <w:r w:rsidRPr="00EB2210">
        <w:rPr>
          <w:rFonts w:ascii="Times New Roman" w:hAnsi="Times New Roman" w:cs="Times New Roman"/>
        </w:rPr>
        <w:t>Both committee stages</w:t>
      </w:r>
      <w:r w:rsidR="001938DA" w:rsidRPr="00EB2210">
        <w:rPr>
          <w:rFonts w:ascii="Times New Roman" w:hAnsi="Times New Roman" w:cs="Times New Roman"/>
        </w:rPr>
        <w:t xml:space="preserve"> have minimal influence in terms of material changes to bills, but government success </w:t>
      </w:r>
      <w:r w:rsidR="00026359" w:rsidRPr="00EB2210">
        <w:rPr>
          <w:rFonts w:ascii="Times New Roman" w:hAnsi="Times New Roman" w:cs="Times New Roman"/>
        </w:rPr>
        <w:t>is</w:t>
      </w:r>
      <w:r w:rsidR="001938DA" w:rsidRPr="00EB2210">
        <w:rPr>
          <w:rFonts w:ascii="Times New Roman" w:hAnsi="Times New Roman" w:cs="Times New Roman"/>
        </w:rPr>
        <w:t xml:space="preserve"> qualified </w:t>
      </w:r>
      <w:r w:rsidR="00026359" w:rsidRPr="00EB2210">
        <w:rPr>
          <w:rFonts w:ascii="Times New Roman" w:hAnsi="Times New Roman" w:cs="Times New Roman"/>
        </w:rPr>
        <w:t>due to</w:t>
      </w:r>
      <w:r w:rsidR="001938DA" w:rsidRPr="00EB2210">
        <w:rPr>
          <w:rFonts w:ascii="Times New Roman" w:hAnsi="Times New Roman" w:cs="Times New Roman"/>
        </w:rPr>
        <w:t xml:space="preserve"> </w:t>
      </w:r>
      <w:r w:rsidR="00E66E98">
        <w:rPr>
          <w:rFonts w:ascii="Times New Roman" w:hAnsi="Times New Roman" w:cs="Times New Roman"/>
        </w:rPr>
        <w:t xml:space="preserve">the </w:t>
      </w:r>
      <w:r w:rsidR="001938DA" w:rsidRPr="00EB2210">
        <w:rPr>
          <w:rFonts w:ascii="Times New Roman" w:hAnsi="Times New Roman" w:cs="Times New Roman"/>
        </w:rPr>
        <w:t xml:space="preserve">limited ‘substantiveness’ of amendments. Scottish committees proved only marginally more successful in securing substantive amendments (12 percent of successful amendments versus Westminster’s 1-5 percent). Both committee </w:t>
      </w:r>
      <w:r w:rsidR="00026359" w:rsidRPr="00EB2210">
        <w:rPr>
          <w:rFonts w:ascii="Times New Roman" w:hAnsi="Times New Roman" w:cs="Times New Roman"/>
        </w:rPr>
        <w:t>are</w:t>
      </w:r>
      <w:r w:rsidR="001938DA" w:rsidRPr="00EB2210">
        <w:rPr>
          <w:rFonts w:ascii="Times New Roman" w:hAnsi="Times New Roman" w:cs="Times New Roman"/>
        </w:rPr>
        <w:t xml:space="preserve"> more influential by assurances</w:t>
      </w:r>
      <w:r w:rsidR="00BC05CB" w:rsidRPr="00EB2210">
        <w:rPr>
          <w:rFonts w:ascii="Times New Roman" w:hAnsi="Times New Roman" w:cs="Times New Roman"/>
        </w:rPr>
        <w:t xml:space="preserve">, </w:t>
      </w:r>
      <w:r w:rsidR="00050A08" w:rsidRPr="00EB2210">
        <w:rPr>
          <w:rFonts w:ascii="Times New Roman" w:hAnsi="Times New Roman" w:cs="Times New Roman"/>
        </w:rPr>
        <w:t xml:space="preserve">but </w:t>
      </w:r>
      <w:r w:rsidR="00BC05CB" w:rsidRPr="00EB2210">
        <w:rPr>
          <w:rFonts w:ascii="Times New Roman" w:eastAsia="Times New Roman" w:hAnsi="Times New Roman" w:cs="Times New Roman"/>
          <w:lang w:eastAsia="en-GB"/>
        </w:rPr>
        <w:t>Holyrood performs slightly better</w:t>
      </w:r>
      <w:r w:rsidR="00BE0F46" w:rsidRPr="00EB2210">
        <w:rPr>
          <w:rFonts w:ascii="Times New Roman" w:eastAsia="Times New Roman" w:hAnsi="Times New Roman" w:cs="Times New Roman"/>
          <w:lang w:eastAsia="en-GB"/>
        </w:rPr>
        <w:t xml:space="preserve">, with </w:t>
      </w:r>
      <w:r w:rsidR="00BC05CB" w:rsidRPr="00EB2210">
        <w:rPr>
          <w:rFonts w:ascii="Times New Roman" w:eastAsia="Times New Roman" w:hAnsi="Times New Roman" w:cs="Times New Roman"/>
          <w:lang w:eastAsia="en-GB"/>
        </w:rPr>
        <w:t xml:space="preserve">case comparison </w:t>
      </w:r>
      <w:r w:rsidR="00BC05CB" w:rsidRPr="00EB2210">
        <w:rPr>
          <w:rFonts w:ascii="Times New Roman" w:eastAsia="Times New Roman" w:hAnsi="Times New Roman" w:cs="Times New Roman"/>
          <w:lang w:eastAsia="en-GB"/>
        </w:rPr>
        <w:lastRenderedPageBreak/>
        <w:t>also suggest</w:t>
      </w:r>
      <w:r w:rsidR="00BE0F46" w:rsidRPr="00EB2210">
        <w:rPr>
          <w:rFonts w:ascii="Times New Roman" w:eastAsia="Times New Roman" w:hAnsi="Times New Roman" w:cs="Times New Roman"/>
          <w:lang w:eastAsia="en-GB"/>
        </w:rPr>
        <w:t>ing</w:t>
      </w:r>
      <w:r w:rsidR="00BC05CB" w:rsidRPr="00EB2210">
        <w:rPr>
          <w:rFonts w:ascii="Times New Roman" w:eastAsia="Times New Roman" w:hAnsi="Times New Roman" w:cs="Times New Roman"/>
          <w:lang w:eastAsia="en-GB"/>
        </w:rPr>
        <w:t xml:space="preserve"> a ‘consensus’ politics approach </w:t>
      </w:r>
      <w:r w:rsidR="003E53AD">
        <w:rPr>
          <w:rFonts w:ascii="Times New Roman" w:eastAsia="Times New Roman" w:hAnsi="Times New Roman" w:cs="Times New Roman"/>
          <w:lang w:eastAsia="en-GB"/>
        </w:rPr>
        <w:t>there</w:t>
      </w:r>
      <w:r w:rsidR="00BC05CB" w:rsidRPr="00EB2210">
        <w:rPr>
          <w:rFonts w:ascii="Times New Roman" w:eastAsia="Times New Roman" w:hAnsi="Times New Roman" w:cs="Times New Roman"/>
          <w:lang w:eastAsia="en-GB"/>
        </w:rPr>
        <w:t xml:space="preserve">. </w:t>
      </w:r>
      <w:r w:rsidR="0004711F" w:rsidRPr="00EB2210">
        <w:rPr>
          <w:rFonts w:ascii="Times New Roman" w:eastAsia="Times New Roman" w:hAnsi="Times New Roman" w:cs="Times New Roman"/>
          <w:lang w:eastAsia="en-GB"/>
        </w:rPr>
        <w:t>Thus</w:t>
      </w:r>
      <w:r w:rsidR="00050A08" w:rsidRPr="00EB2210">
        <w:rPr>
          <w:rFonts w:ascii="Times New Roman" w:eastAsia="Times New Roman" w:hAnsi="Times New Roman" w:cs="Times New Roman"/>
          <w:lang w:eastAsia="en-GB"/>
        </w:rPr>
        <w:t>,</w:t>
      </w:r>
      <w:r w:rsidR="00BC05CB" w:rsidRPr="00EB2210">
        <w:rPr>
          <w:rFonts w:ascii="Times New Roman" w:eastAsia="Times New Roman" w:hAnsi="Times New Roman" w:cs="Times New Roman"/>
          <w:lang w:eastAsia="en-GB"/>
        </w:rPr>
        <w:t xml:space="preserve"> Holyrood cautiously comes out on top</w:t>
      </w:r>
      <w:r w:rsidR="00044137" w:rsidRPr="00EB2210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605A605B" w14:textId="368C2BF5" w:rsidR="001938DA" w:rsidRPr="00EB2210" w:rsidRDefault="001938DA" w:rsidP="00EB2210">
      <w:pPr>
        <w:spacing w:line="480" w:lineRule="auto"/>
        <w:ind w:firstLine="360"/>
        <w:rPr>
          <w:rFonts w:ascii="Times New Roman" w:hAnsi="Times New Roman" w:cs="Times New Roman"/>
        </w:rPr>
      </w:pPr>
    </w:p>
    <w:p w14:paraId="1EDFB3DA" w14:textId="72CC617C" w:rsidR="00E1565B" w:rsidRPr="00EB2210" w:rsidRDefault="00BC05CB" w:rsidP="00EB2210">
      <w:pPr>
        <w:spacing w:line="480" w:lineRule="auto"/>
        <w:ind w:firstLine="720"/>
        <w:rPr>
          <w:rFonts w:ascii="Times New Roman" w:eastAsia="Times New Roman" w:hAnsi="Times New Roman" w:cs="Times New Roman"/>
          <w:lang w:eastAsia="en-GB"/>
        </w:rPr>
      </w:pPr>
      <w:r w:rsidRPr="00EB2210">
        <w:rPr>
          <w:rFonts w:ascii="Times New Roman" w:eastAsia="Times New Roman" w:hAnsi="Times New Roman" w:cs="Times New Roman"/>
          <w:lang w:eastAsia="en-GB"/>
        </w:rPr>
        <w:t xml:space="preserve">Overall, the difference is </w:t>
      </w:r>
      <w:r w:rsidR="006D640A">
        <w:rPr>
          <w:rFonts w:ascii="Times New Roman" w:eastAsia="Times New Roman" w:hAnsi="Times New Roman" w:cs="Times New Roman"/>
          <w:lang w:eastAsia="en-GB"/>
        </w:rPr>
        <w:t>not</w:t>
      </w:r>
      <w:r w:rsidRPr="00EB2210">
        <w:rPr>
          <w:rFonts w:ascii="Times New Roman" w:eastAsia="Times New Roman" w:hAnsi="Times New Roman" w:cs="Times New Roman"/>
          <w:lang w:eastAsia="en-GB"/>
        </w:rPr>
        <w:t xml:space="preserve"> significant enough to conclude Holyrood achieve</w:t>
      </w:r>
      <w:r w:rsidR="00005D0D">
        <w:rPr>
          <w:rFonts w:ascii="Times New Roman" w:eastAsia="Times New Roman" w:hAnsi="Times New Roman" w:cs="Times New Roman"/>
          <w:lang w:eastAsia="en-GB"/>
        </w:rPr>
        <w:t>s</w:t>
      </w:r>
      <w:r w:rsidRPr="00EB2210">
        <w:rPr>
          <w:rFonts w:ascii="Times New Roman" w:eastAsia="Times New Roman" w:hAnsi="Times New Roman" w:cs="Times New Roman"/>
          <w:lang w:eastAsia="en-GB"/>
        </w:rPr>
        <w:t xml:space="preserve"> some ‘new politics’. </w:t>
      </w:r>
      <w:r w:rsidR="00E1565B" w:rsidRPr="00EB2210">
        <w:rPr>
          <w:rFonts w:ascii="Times New Roman" w:hAnsi="Times New Roman" w:cs="Times New Roman"/>
        </w:rPr>
        <w:t xml:space="preserve">Yet, neither is </w:t>
      </w:r>
      <w:r w:rsidRPr="00EB2210">
        <w:rPr>
          <w:rFonts w:ascii="Times New Roman" w:hAnsi="Times New Roman" w:cs="Times New Roman"/>
        </w:rPr>
        <w:t xml:space="preserve">this </w:t>
      </w:r>
      <w:r w:rsidR="00E1565B" w:rsidRPr="00EB2210">
        <w:rPr>
          <w:rFonts w:ascii="Times New Roman" w:hAnsi="Times New Roman" w:cs="Times New Roman"/>
        </w:rPr>
        <w:t>a resounding affirmation of the PDT.</w:t>
      </w:r>
      <w:r w:rsidRPr="00EB2210">
        <w:rPr>
          <w:rFonts w:ascii="Times New Roman" w:eastAsia="Times New Roman" w:hAnsi="Times New Roman" w:cs="Times New Roman"/>
          <w:lang w:eastAsia="en-GB"/>
        </w:rPr>
        <w:t xml:space="preserve"> The ability of committees to elicit assurances, </w:t>
      </w:r>
      <w:r w:rsidR="004C1398" w:rsidRPr="00EB2210">
        <w:rPr>
          <w:rFonts w:ascii="Times New Roman" w:eastAsia="Times New Roman" w:hAnsi="Times New Roman" w:cs="Times New Roman"/>
          <w:lang w:eastAsia="en-GB"/>
        </w:rPr>
        <w:t xml:space="preserve">often </w:t>
      </w:r>
      <w:r w:rsidRPr="00EB2210">
        <w:rPr>
          <w:rFonts w:ascii="Times New Roman" w:eastAsia="Times New Roman" w:hAnsi="Times New Roman" w:cs="Times New Roman"/>
          <w:lang w:eastAsia="en-GB"/>
        </w:rPr>
        <w:t xml:space="preserve">disguised </w:t>
      </w:r>
      <w:r w:rsidR="004C1398" w:rsidRPr="00EB2210">
        <w:rPr>
          <w:rFonts w:ascii="Times New Roman" w:eastAsia="Times New Roman" w:hAnsi="Times New Roman" w:cs="Times New Roman"/>
          <w:lang w:eastAsia="en-GB"/>
        </w:rPr>
        <w:t>as</w:t>
      </w:r>
      <w:r w:rsidRPr="00EB2210">
        <w:rPr>
          <w:rFonts w:ascii="Times New Roman" w:eastAsia="Times New Roman" w:hAnsi="Times New Roman" w:cs="Times New Roman"/>
          <w:lang w:eastAsia="en-GB"/>
        </w:rPr>
        <w:t xml:space="preserve"> ‘unsuccessful’ amendments, is one </w:t>
      </w:r>
      <w:r w:rsidR="002E02F7" w:rsidRPr="00EB2210">
        <w:rPr>
          <w:rFonts w:ascii="Times New Roman" w:eastAsia="Times New Roman" w:hAnsi="Times New Roman" w:cs="Times New Roman"/>
          <w:lang w:eastAsia="en-GB"/>
        </w:rPr>
        <w:t>(</w:t>
      </w:r>
      <w:r w:rsidRPr="00EB2210">
        <w:rPr>
          <w:rFonts w:ascii="Times New Roman" w:eastAsia="Times New Roman" w:hAnsi="Times New Roman" w:cs="Times New Roman"/>
          <w:lang w:eastAsia="en-GB"/>
        </w:rPr>
        <w:t>qualified</w:t>
      </w:r>
      <w:r w:rsidR="002E02F7" w:rsidRPr="00EB2210">
        <w:rPr>
          <w:rFonts w:ascii="Times New Roman" w:eastAsia="Times New Roman" w:hAnsi="Times New Roman" w:cs="Times New Roman"/>
          <w:lang w:eastAsia="en-GB"/>
        </w:rPr>
        <w:t>)</w:t>
      </w:r>
      <w:r w:rsidRPr="00EB2210">
        <w:rPr>
          <w:rFonts w:ascii="Times New Roman" w:eastAsia="Times New Roman" w:hAnsi="Times New Roman" w:cs="Times New Roman"/>
          <w:lang w:eastAsia="en-GB"/>
        </w:rPr>
        <w:t xml:space="preserve"> reason to </w:t>
      </w:r>
      <w:r w:rsidR="002E02F7" w:rsidRPr="00EB2210">
        <w:rPr>
          <w:rFonts w:ascii="Times New Roman" w:eastAsia="Times New Roman" w:hAnsi="Times New Roman" w:cs="Times New Roman"/>
          <w:lang w:eastAsia="en-GB"/>
        </w:rPr>
        <w:t xml:space="preserve">believe </w:t>
      </w:r>
      <w:r w:rsidRPr="00EB2210">
        <w:rPr>
          <w:rFonts w:ascii="Times New Roman" w:eastAsia="Times New Roman" w:hAnsi="Times New Roman" w:cs="Times New Roman"/>
          <w:lang w:eastAsia="en-GB"/>
        </w:rPr>
        <w:t xml:space="preserve">Judge’s </w:t>
      </w:r>
      <w:r w:rsidR="002E02F7" w:rsidRPr="00EB2210">
        <w:rPr>
          <w:rFonts w:ascii="Times New Roman" w:eastAsia="Times New Roman" w:hAnsi="Times New Roman" w:cs="Times New Roman"/>
          <w:lang w:eastAsia="en-GB"/>
        </w:rPr>
        <w:t>assessment</w:t>
      </w:r>
      <w:r w:rsidRPr="00EB2210">
        <w:rPr>
          <w:rFonts w:ascii="Times New Roman" w:eastAsia="Times New Roman" w:hAnsi="Times New Roman" w:cs="Times New Roman"/>
          <w:lang w:eastAsia="en-GB"/>
        </w:rPr>
        <w:t xml:space="preserve"> that the UK</w:t>
      </w:r>
      <w:r w:rsidR="002E02F7" w:rsidRPr="00EB2210">
        <w:rPr>
          <w:rFonts w:ascii="Times New Roman" w:eastAsia="Times New Roman" w:hAnsi="Times New Roman" w:cs="Times New Roman"/>
          <w:lang w:eastAsia="en-GB"/>
        </w:rPr>
        <w:t xml:space="preserve"> and Scotland</w:t>
      </w:r>
      <w:r w:rsidRPr="00EB2210">
        <w:rPr>
          <w:rFonts w:ascii="Times New Roman" w:eastAsia="Times New Roman" w:hAnsi="Times New Roman" w:cs="Times New Roman"/>
          <w:lang w:eastAsia="en-GB"/>
        </w:rPr>
        <w:t xml:space="preserve"> remain ‘parliamentary state</w:t>
      </w:r>
      <w:r w:rsidR="00C8116D" w:rsidRPr="00EB2210">
        <w:rPr>
          <w:rFonts w:ascii="Times New Roman" w:eastAsia="Times New Roman" w:hAnsi="Times New Roman" w:cs="Times New Roman"/>
          <w:lang w:eastAsia="en-GB"/>
        </w:rPr>
        <w:t>s</w:t>
      </w:r>
      <w:r w:rsidRPr="00EB2210">
        <w:rPr>
          <w:rFonts w:ascii="Times New Roman" w:eastAsia="Times New Roman" w:hAnsi="Times New Roman" w:cs="Times New Roman"/>
          <w:lang w:eastAsia="en-GB"/>
        </w:rPr>
        <w:t>’</w:t>
      </w:r>
      <w:r w:rsidR="00115242">
        <w:rPr>
          <w:rFonts w:ascii="Times New Roman" w:eastAsia="Times New Roman" w:hAnsi="Times New Roman" w:cs="Times New Roman"/>
          <w:lang w:eastAsia="en-GB"/>
        </w:rPr>
        <w:t xml:space="preserve"> (1993: 7)</w:t>
      </w:r>
      <w:r w:rsidRPr="00EB2210">
        <w:rPr>
          <w:rFonts w:ascii="Times New Roman" w:eastAsia="Times New Roman" w:hAnsi="Times New Roman" w:cs="Times New Roman"/>
          <w:lang w:eastAsia="en-GB"/>
        </w:rPr>
        <w:t>.</w:t>
      </w:r>
    </w:p>
    <w:p w14:paraId="03A66247" w14:textId="30372AAB" w:rsidR="00E1565B" w:rsidRPr="00EB2210" w:rsidRDefault="00E1565B" w:rsidP="00EB2210">
      <w:pPr>
        <w:spacing w:line="480" w:lineRule="auto"/>
        <w:ind w:firstLine="360"/>
        <w:rPr>
          <w:rFonts w:ascii="Times New Roman" w:hAnsi="Times New Roman" w:cs="Times New Roman"/>
        </w:rPr>
      </w:pPr>
    </w:p>
    <w:p w14:paraId="4F6CB72A" w14:textId="30B093DF" w:rsidR="00E1565B" w:rsidRPr="00EB2210" w:rsidRDefault="00BB3C82" w:rsidP="00EB2210">
      <w:pPr>
        <w:spacing w:line="480" w:lineRule="auto"/>
        <w:rPr>
          <w:rFonts w:ascii="Times New Roman" w:hAnsi="Times New Roman" w:cs="Times New Roman"/>
          <w:b/>
          <w:bCs/>
        </w:rPr>
      </w:pPr>
      <w:r w:rsidRPr="00EB2210">
        <w:rPr>
          <w:rFonts w:ascii="Times New Roman" w:hAnsi="Times New Roman" w:cs="Times New Roman"/>
          <w:b/>
          <w:bCs/>
        </w:rPr>
        <w:t xml:space="preserve">Word count: </w:t>
      </w:r>
      <w:r w:rsidR="007A5D5A">
        <w:rPr>
          <w:rFonts w:ascii="Times New Roman" w:hAnsi="Times New Roman" w:cs="Times New Roman"/>
          <w:b/>
          <w:bCs/>
        </w:rPr>
        <w:t>3000</w:t>
      </w:r>
    </w:p>
    <w:p w14:paraId="7DFFBB94" w14:textId="56CC1E2A" w:rsidR="00090759" w:rsidRPr="00EB2210" w:rsidRDefault="00090759" w:rsidP="00EB2210">
      <w:pPr>
        <w:spacing w:line="480" w:lineRule="auto"/>
        <w:ind w:firstLine="360"/>
        <w:rPr>
          <w:rFonts w:ascii="Times New Roman" w:hAnsi="Times New Roman" w:cs="Times New Roman"/>
          <w:b/>
          <w:bCs/>
        </w:rPr>
      </w:pPr>
    </w:p>
    <w:p w14:paraId="6BF51798" w14:textId="77777777" w:rsidR="00957FE3" w:rsidRDefault="00957FE3" w:rsidP="00532406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21B7C186" w14:textId="77777777" w:rsidR="00957FE3" w:rsidRDefault="00957FE3" w:rsidP="00532406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67A552C" w14:textId="77777777" w:rsidR="00957FE3" w:rsidRDefault="00957FE3" w:rsidP="00532406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B8D1864" w14:textId="77777777" w:rsidR="00957FE3" w:rsidRDefault="00957FE3" w:rsidP="00532406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7579D1E" w14:textId="77777777" w:rsidR="00957FE3" w:rsidRDefault="00957FE3" w:rsidP="00532406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7C0D246" w14:textId="77777777" w:rsidR="00957FE3" w:rsidRDefault="00957FE3" w:rsidP="00532406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943C1BA" w14:textId="77777777" w:rsidR="00957FE3" w:rsidRDefault="00957FE3" w:rsidP="00532406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22D6003C" w14:textId="77777777" w:rsidR="00957FE3" w:rsidRDefault="00957FE3" w:rsidP="00532406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6CB07FD" w14:textId="77777777" w:rsidR="00957FE3" w:rsidRDefault="00957FE3" w:rsidP="00532406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0A2A3AE" w14:textId="77777777" w:rsidR="00957FE3" w:rsidRDefault="00957FE3" w:rsidP="00532406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215CE41" w14:textId="77777777" w:rsidR="00957FE3" w:rsidRDefault="00957FE3" w:rsidP="00532406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C3C5DF1" w14:textId="77777777" w:rsidR="00957FE3" w:rsidRDefault="00957FE3" w:rsidP="00532406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A23FB08" w14:textId="77777777" w:rsidR="008D7F91" w:rsidRDefault="008D7F91" w:rsidP="00532406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20DAF61" w14:textId="77777777" w:rsidR="008D7F91" w:rsidRDefault="008D7F91" w:rsidP="00532406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0F22F60" w14:textId="61624569" w:rsidR="00532406" w:rsidRDefault="00090759" w:rsidP="00532406">
      <w:pPr>
        <w:spacing w:line="480" w:lineRule="auto"/>
        <w:rPr>
          <w:rFonts w:ascii="Times New Roman" w:hAnsi="Times New Roman" w:cs="Times New Roman"/>
          <w:b/>
          <w:bCs/>
        </w:rPr>
      </w:pPr>
      <w:r w:rsidRPr="00EB2210">
        <w:rPr>
          <w:rFonts w:ascii="Times New Roman" w:hAnsi="Times New Roman" w:cs="Times New Roman"/>
          <w:b/>
          <w:bCs/>
        </w:rPr>
        <w:lastRenderedPageBreak/>
        <w:t>References</w:t>
      </w:r>
    </w:p>
    <w:p w14:paraId="6BE35CCE" w14:textId="77777777" w:rsidR="00532406" w:rsidRPr="00532406" w:rsidRDefault="00532406" w:rsidP="00532406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1C63051" w14:textId="77777777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8F5DFE">
        <w:rPr>
          <w:rFonts w:ascii="Times New Roman" w:eastAsia="Times New Roman" w:hAnsi="Times New Roman" w:cs="Times New Roman"/>
          <w:lang w:eastAsia="en-GB"/>
        </w:rPr>
        <w:t xml:space="preserve">Arter, D. (1985) ‘The Nordic Parliaments: Patterns of Legislative Influence’, </w:t>
      </w:r>
      <w:r w:rsidRPr="008F5DFE">
        <w:rPr>
          <w:rFonts w:ascii="Times New Roman" w:eastAsia="Times New Roman" w:hAnsi="Times New Roman" w:cs="Times New Roman"/>
          <w:i/>
          <w:iCs/>
          <w:lang w:eastAsia="en-GB"/>
        </w:rPr>
        <w:t>West European Politics</w:t>
      </w:r>
      <w:r w:rsidRPr="008F5DFE">
        <w:rPr>
          <w:rFonts w:ascii="Times New Roman" w:eastAsia="Times New Roman" w:hAnsi="Times New Roman" w:cs="Times New Roman"/>
          <w:lang w:eastAsia="en-GB"/>
        </w:rPr>
        <w:t xml:space="preserve">, 8, </w:t>
      </w:r>
      <w:r w:rsidRPr="00532406">
        <w:rPr>
          <w:rFonts w:ascii="Times New Roman" w:eastAsia="Times New Roman" w:hAnsi="Times New Roman" w:cs="Times New Roman"/>
          <w:lang w:eastAsia="en-GB"/>
        </w:rPr>
        <w:t>pp.</w:t>
      </w:r>
      <w:r w:rsidRPr="008F5DFE">
        <w:rPr>
          <w:rFonts w:ascii="Times New Roman" w:eastAsia="Times New Roman" w:hAnsi="Times New Roman" w:cs="Times New Roman"/>
          <w:lang w:eastAsia="en-GB"/>
        </w:rPr>
        <w:t>55–70.</w:t>
      </w:r>
    </w:p>
    <w:p w14:paraId="26E875E8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667FF559" w14:textId="77777777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8F5DFE">
        <w:rPr>
          <w:rFonts w:ascii="Times New Roman" w:eastAsia="Times New Roman" w:hAnsi="Times New Roman" w:cs="Times New Roman"/>
          <w:lang w:eastAsia="en-GB"/>
        </w:rPr>
        <w:t xml:space="preserve">Arter, D. (2003) ‘Committee Cohesion and the Corporate Dimension of Parliamentary Committees: A Comparative Analysis’, </w:t>
      </w:r>
      <w:r w:rsidRPr="008F5DFE">
        <w:rPr>
          <w:rFonts w:ascii="Times New Roman" w:eastAsia="Times New Roman" w:hAnsi="Times New Roman" w:cs="Times New Roman"/>
          <w:i/>
          <w:iCs/>
          <w:lang w:eastAsia="en-GB"/>
        </w:rPr>
        <w:t>Journal of Legislative Studies</w:t>
      </w:r>
      <w:r w:rsidRPr="008F5DFE">
        <w:rPr>
          <w:rFonts w:ascii="Times New Roman" w:eastAsia="Times New Roman" w:hAnsi="Times New Roman" w:cs="Times New Roman"/>
          <w:lang w:eastAsia="en-GB"/>
        </w:rPr>
        <w:t xml:space="preserve">, 9, </w:t>
      </w:r>
      <w:r w:rsidRPr="00532406">
        <w:rPr>
          <w:rFonts w:ascii="Times New Roman" w:eastAsia="Times New Roman" w:hAnsi="Times New Roman" w:cs="Times New Roman"/>
          <w:lang w:eastAsia="en-GB"/>
        </w:rPr>
        <w:t>pp.</w:t>
      </w:r>
      <w:r w:rsidRPr="008F5DFE">
        <w:rPr>
          <w:rFonts w:ascii="Times New Roman" w:eastAsia="Times New Roman" w:hAnsi="Times New Roman" w:cs="Times New Roman"/>
          <w:lang w:eastAsia="en-GB"/>
        </w:rPr>
        <w:t>73 –87.</w:t>
      </w:r>
    </w:p>
    <w:p w14:paraId="1795D984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1DD4096" w14:textId="320DD4BC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eastAsia="Times New Roman" w:hAnsi="Times New Roman" w:cs="Times New Roman"/>
          <w:lang w:eastAsia="en-GB"/>
        </w:rPr>
        <w:t xml:space="preserve">Arter, David. (2002) ‘On Assessing Strength and Weakness in Parliamentary Committee Systems: Some Preliminary Observations on the New Scottish Parliament’, </w:t>
      </w:r>
      <w:r w:rsidRPr="00532406">
        <w:rPr>
          <w:rFonts w:ascii="Times New Roman" w:eastAsia="Times New Roman" w:hAnsi="Times New Roman" w:cs="Times New Roman"/>
          <w:i/>
          <w:iCs/>
          <w:lang w:eastAsia="en-GB"/>
        </w:rPr>
        <w:t>Journal of Legislative Studies</w:t>
      </w:r>
      <w:r w:rsidRPr="00532406">
        <w:rPr>
          <w:rFonts w:ascii="Times New Roman" w:eastAsia="Times New Roman" w:hAnsi="Times New Roman" w:cs="Times New Roman"/>
          <w:lang w:eastAsia="en-GB"/>
        </w:rPr>
        <w:t xml:space="preserve">, 8(2), pp.93-117. </w:t>
      </w:r>
    </w:p>
    <w:p w14:paraId="3F53AC9F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7F65DAD8" w14:textId="77777777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eastAsia="Times New Roman" w:hAnsi="Times New Roman" w:cs="Times New Roman"/>
          <w:lang w:eastAsia="en-GB"/>
        </w:rPr>
        <w:t xml:space="preserve">Arter, David. (2004) ‘The Scottish Committees and the Goal of a “New Politics”: A Verdict on the First Four Years of the Devolved Scottish Parliament’, </w:t>
      </w:r>
      <w:r w:rsidRPr="00532406">
        <w:rPr>
          <w:rFonts w:ascii="Times New Roman" w:eastAsia="Times New Roman" w:hAnsi="Times New Roman" w:cs="Times New Roman"/>
          <w:i/>
          <w:iCs/>
          <w:lang w:eastAsia="en-GB"/>
        </w:rPr>
        <w:t>Journal of Contemporary European Studies</w:t>
      </w:r>
      <w:r w:rsidRPr="00532406">
        <w:rPr>
          <w:rFonts w:ascii="Times New Roman" w:eastAsia="Times New Roman" w:hAnsi="Times New Roman" w:cs="Times New Roman"/>
          <w:lang w:eastAsia="en-GB"/>
        </w:rPr>
        <w:t>, 12(1), pp.71-91.</w:t>
      </w:r>
    </w:p>
    <w:p w14:paraId="1457D57B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1D5B3444" w14:textId="77777777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F2481B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Blackburn, Robert</w:t>
      </w:r>
      <w:r w:rsidRPr="0053240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and </w:t>
      </w:r>
      <w:r w:rsidRPr="00F2481B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Kennon, Andrew</w:t>
      </w:r>
      <w:r w:rsidRPr="0053240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. </w:t>
      </w:r>
      <w:r w:rsidRPr="00F2481B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(2003) </w:t>
      </w:r>
      <w:r w:rsidRPr="00F2481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en-GB"/>
        </w:rPr>
        <w:t>Griffith and Ryle on parliament: functions, practice and procedures</w:t>
      </w:r>
      <w:r w:rsidRPr="0053240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en-GB"/>
        </w:rPr>
        <w:t xml:space="preserve"> </w:t>
      </w:r>
      <w:r w:rsidRPr="0053240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(London:</w:t>
      </w:r>
      <w:r w:rsidRPr="0053240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en-GB"/>
        </w:rPr>
        <w:t xml:space="preserve"> </w:t>
      </w:r>
      <w:r w:rsidRPr="00F2481B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Sweet &amp; Maxwell</w:t>
      </w:r>
      <w:r w:rsidRPr="0053240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).</w:t>
      </w:r>
    </w:p>
    <w:p w14:paraId="06114054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7CC59FB7" w14:textId="0EE4BCEF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90032B">
        <w:rPr>
          <w:rFonts w:ascii="Times New Roman" w:eastAsia="Times New Roman" w:hAnsi="Times New Roman" w:cs="Times New Roman"/>
          <w:lang w:eastAsia="en-GB"/>
        </w:rPr>
        <w:t xml:space="preserve">Cabinet Office. (2012) </w:t>
      </w:r>
      <w:r w:rsidRPr="0090032B">
        <w:rPr>
          <w:rFonts w:ascii="Times New Roman" w:eastAsia="Times New Roman" w:hAnsi="Times New Roman" w:cs="Times New Roman"/>
          <w:i/>
          <w:iCs/>
          <w:lang w:eastAsia="en-GB"/>
        </w:rPr>
        <w:t>Guide to Making Legislation</w:t>
      </w:r>
      <w:r w:rsidR="008D7F91">
        <w:rPr>
          <w:rFonts w:ascii="Times New Roman" w:eastAsia="Times New Roman" w:hAnsi="Times New Roman" w:cs="Times New Roman"/>
          <w:lang w:eastAsia="en-GB"/>
        </w:rPr>
        <w:t xml:space="preserve">. Available at: </w:t>
      </w:r>
      <w:hyperlink r:id="rId8" w:history="1">
        <w:r w:rsidR="008D7F91" w:rsidRPr="00207CEC">
          <w:rPr>
            <w:rStyle w:val="Hyperlink"/>
            <w:rFonts w:ascii="Times New Roman" w:eastAsia="Times New Roman" w:hAnsi="Times New Roman" w:cs="Times New Roman"/>
            <w:lang w:eastAsia="en-GB"/>
          </w:rPr>
          <w:t>https://assets.publishing.service.gov.uk/government/uploads/system/uploads/attachment_data/file/1048567/guide-to-making-legislation-2022.pdf</w:t>
        </w:r>
      </w:hyperlink>
      <w:r w:rsidR="008D7F91">
        <w:rPr>
          <w:rFonts w:ascii="Times New Roman" w:eastAsia="Times New Roman" w:hAnsi="Times New Roman" w:cs="Times New Roman"/>
          <w:lang w:eastAsia="en-GB"/>
        </w:rPr>
        <w:t xml:space="preserve"> [Accessed: 1 April 2022].</w:t>
      </w:r>
    </w:p>
    <w:p w14:paraId="75AAB27E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55FEBB2B" w14:textId="6835D3D5" w:rsidR="00D1479D" w:rsidRDefault="00AA41F8" w:rsidP="00D1479D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eastAsia="Times New Roman" w:hAnsi="Times New Roman" w:cs="Times New Roman"/>
          <w:lang w:eastAsia="en-GB"/>
        </w:rPr>
        <w:lastRenderedPageBreak/>
        <w:t xml:space="preserve">Cairney, Paul. (2006) ‘The analysis of Scottish Parliament committee influence: Beyond capacity and structure in comparing West European legislatures’, </w:t>
      </w:r>
      <w:r w:rsidRPr="00532406">
        <w:rPr>
          <w:rFonts w:ascii="Times New Roman" w:eastAsia="Times New Roman" w:hAnsi="Times New Roman" w:cs="Times New Roman"/>
          <w:i/>
          <w:iCs/>
          <w:lang w:eastAsia="en-GB"/>
        </w:rPr>
        <w:t>European Journal of Political Research</w:t>
      </w:r>
      <w:r w:rsidRPr="00532406">
        <w:rPr>
          <w:rFonts w:ascii="Times New Roman" w:eastAsia="Times New Roman" w:hAnsi="Times New Roman" w:cs="Times New Roman"/>
          <w:lang w:eastAsia="en-GB"/>
        </w:rPr>
        <w:t>, 45, pp.181-208.</w:t>
      </w:r>
    </w:p>
    <w:p w14:paraId="740C6E9D" w14:textId="77777777" w:rsidR="00D1479D" w:rsidRPr="00D1479D" w:rsidRDefault="00D1479D" w:rsidP="00D1479D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73FE07DC" w14:textId="77777777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hAnsi="Times New Roman" w:cs="Times New Roman"/>
          <w:color w:val="000000" w:themeColor="text1"/>
        </w:rPr>
        <w:t xml:space="preserve">Crewe, Emma. (2017) ‘Reading the Runes: Conflict, Culture and “Evidence” in Law-making in the UK’, </w:t>
      </w:r>
      <w:r w:rsidRPr="00532406">
        <w:rPr>
          <w:rFonts w:ascii="Times New Roman" w:hAnsi="Times New Roman" w:cs="Times New Roman"/>
          <w:i/>
          <w:iCs/>
          <w:color w:val="000000" w:themeColor="text1"/>
        </w:rPr>
        <w:t>Redescriptions</w:t>
      </w:r>
      <w:r w:rsidRPr="00532406">
        <w:rPr>
          <w:rFonts w:ascii="Times New Roman" w:hAnsi="Times New Roman" w:cs="Times New Roman"/>
          <w:color w:val="000000" w:themeColor="text1"/>
        </w:rPr>
        <w:t>, 20(1), pp.32-48.</w:t>
      </w:r>
    </w:p>
    <w:p w14:paraId="201CE373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19E1BB9B" w14:textId="77777777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hAnsi="Times New Roman" w:cs="Times New Roman"/>
        </w:rPr>
        <w:t xml:space="preserve">Dixon, Ruth and Jones, Jonathan. (2019) ‘Mapping Mutations in Legislation: A Bioinformatics Approach’, </w:t>
      </w:r>
      <w:r w:rsidRPr="00532406">
        <w:rPr>
          <w:rFonts w:ascii="Times New Roman" w:hAnsi="Times New Roman" w:cs="Times New Roman"/>
          <w:i/>
          <w:iCs/>
        </w:rPr>
        <w:t>Parliamentary Affairs</w:t>
      </w:r>
      <w:r w:rsidRPr="00532406">
        <w:rPr>
          <w:rFonts w:ascii="Times New Roman" w:hAnsi="Times New Roman" w:cs="Times New Roman"/>
        </w:rPr>
        <w:t>, 72, pp.21-41.</w:t>
      </w:r>
    </w:p>
    <w:p w14:paraId="4B0FB86C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62FF30F8" w14:textId="5CE4E28C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8008D4">
        <w:rPr>
          <w:rFonts w:ascii="Times New Roman" w:eastAsia="Times New Roman" w:hAnsi="Times New Roman" w:cs="Times New Roman"/>
          <w:lang w:eastAsia="en-GB"/>
        </w:rPr>
        <w:t>Flinders</w:t>
      </w:r>
      <w:r w:rsidRPr="00532406">
        <w:rPr>
          <w:rFonts w:ascii="Times New Roman" w:eastAsia="Times New Roman" w:hAnsi="Times New Roman" w:cs="Times New Roman"/>
          <w:lang w:eastAsia="en-GB"/>
        </w:rPr>
        <w:t>, Matthew</w:t>
      </w:r>
      <w:r w:rsidRPr="008008D4">
        <w:rPr>
          <w:rFonts w:ascii="Times New Roman" w:eastAsia="Times New Roman" w:hAnsi="Times New Roman" w:cs="Times New Roman"/>
          <w:lang w:eastAsia="en-GB"/>
        </w:rPr>
        <w:t xml:space="preserve"> and Kelso, </w:t>
      </w:r>
      <w:r w:rsidRPr="00532406">
        <w:rPr>
          <w:rFonts w:ascii="Times New Roman" w:eastAsia="Times New Roman" w:hAnsi="Times New Roman" w:cs="Times New Roman"/>
          <w:lang w:eastAsia="en-GB"/>
        </w:rPr>
        <w:t>Alexandro</w:t>
      </w:r>
      <w:r w:rsidR="00D1479D">
        <w:rPr>
          <w:rFonts w:ascii="Times New Roman" w:eastAsia="Times New Roman" w:hAnsi="Times New Roman" w:cs="Times New Roman"/>
          <w:lang w:eastAsia="en-GB"/>
        </w:rPr>
        <w:t>.</w:t>
      </w:r>
      <w:r w:rsidRPr="00532406">
        <w:rPr>
          <w:rFonts w:ascii="Times New Roman" w:eastAsia="Times New Roman" w:hAnsi="Times New Roman" w:cs="Times New Roman"/>
          <w:lang w:eastAsia="en-GB"/>
        </w:rPr>
        <w:t xml:space="preserve"> (2011) </w:t>
      </w:r>
      <w:r w:rsidRPr="008008D4">
        <w:rPr>
          <w:rFonts w:ascii="Times New Roman" w:eastAsia="Times New Roman" w:hAnsi="Times New Roman" w:cs="Times New Roman"/>
          <w:lang w:eastAsia="en-GB"/>
        </w:rPr>
        <w:t xml:space="preserve">‘Mind the Gap: Political Analysis, Public Expectations and the Parliamentary Decline Thesis’, </w:t>
      </w:r>
      <w:r w:rsidRPr="008008D4">
        <w:rPr>
          <w:rFonts w:ascii="Times New Roman" w:eastAsia="Times New Roman" w:hAnsi="Times New Roman" w:cs="Times New Roman"/>
          <w:i/>
          <w:iCs/>
          <w:lang w:eastAsia="en-GB"/>
        </w:rPr>
        <w:t>British Journal of Politics and International Relations</w:t>
      </w:r>
      <w:r w:rsidRPr="008008D4">
        <w:rPr>
          <w:rFonts w:ascii="Times New Roman" w:eastAsia="Times New Roman" w:hAnsi="Times New Roman" w:cs="Times New Roman"/>
          <w:lang w:eastAsia="en-GB"/>
        </w:rPr>
        <w:t>, 13</w:t>
      </w:r>
      <w:r w:rsidR="00D1479D">
        <w:rPr>
          <w:rFonts w:ascii="Times New Roman" w:eastAsia="Times New Roman" w:hAnsi="Times New Roman" w:cs="Times New Roman"/>
          <w:lang w:eastAsia="en-GB"/>
        </w:rPr>
        <w:t>(2)</w:t>
      </w:r>
      <w:r w:rsidRPr="008008D4">
        <w:rPr>
          <w:rFonts w:ascii="Times New Roman" w:eastAsia="Times New Roman" w:hAnsi="Times New Roman" w:cs="Times New Roman"/>
          <w:lang w:eastAsia="en-GB"/>
        </w:rPr>
        <w:t>, pp 249–68</w:t>
      </w:r>
      <w:r w:rsidRPr="00532406">
        <w:rPr>
          <w:rFonts w:ascii="Times New Roman" w:eastAsia="Times New Roman" w:hAnsi="Times New Roman" w:cs="Times New Roman"/>
          <w:lang w:eastAsia="en-GB"/>
        </w:rPr>
        <w:t>.</w:t>
      </w:r>
    </w:p>
    <w:p w14:paraId="6402819C" w14:textId="77777777" w:rsidR="00532406" w:rsidRPr="00532406" w:rsidRDefault="00532406" w:rsidP="00D1479D">
      <w:pPr>
        <w:spacing w:line="480" w:lineRule="auto"/>
        <w:rPr>
          <w:rFonts w:ascii="Times New Roman" w:hAnsi="Times New Roman" w:cs="Times New Roman"/>
        </w:rPr>
      </w:pPr>
    </w:p>
    <w:p w14:paraId="64D76A9A" w14:textId="20D9C19A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hAnsi="Times New Roman" w:cs="Times New Roman"/>
        </w:rPr>
        <w:t xml:space="preserve">Geddes, Marc. (2019) ‘Performing Scrutiny along the Committee Corridor of the UK House of Commons’, </w:t>
      </w:r>
      <w:r w:rsidRPr="00532406">
        <w:rPr>
          <w:rFonts w:ascii="Times New Roman" w:hAnsi="Times New Roman" w:cs="Times New Roman"/>
          <w:i/>
          <w:iCs/>
        </w:rPr>
        <w:t>Parliamentary Affairs</w:t>
      </w:r>
      <w:r w:rsidRPr="00532406">
        <w:rPr>
          <w:rFonts w:ascii="Times New Roman" w:hAnsi="Times New Roman" w:cs="Times New Roman"/>
        </w:rPr>
        <w:t>, 72</w:t>
      </w:r>
      <w:r w:rsidR="00D1479D">
        <w:rPr>
          <w:rFonts w:ascii="Times New Roman" w:hAnsi="Times New Roman" w:cs="Times New Roman"/>
        </w:rPr>
        <w:t>(4)</w:t>
      </w:r>
      <w:r w:rsidRPr="00532406">
        <w:rPr>
          <w:rFonts w:ascii="Times New Roman" w:hAnsi="Times New Roman" w:cs="Times New Roman"/>
        </w:rPr>
        <w:t>, pp.821-840.</w:t>
      </w:r>
    </w:p>
    <w:p w14:paraId="1C5C5A91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805F824" w14:textId="05E34A68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DC31C3">
        <w:rPr>
          <w:rFonts w:ascii="Times New Roman" w:eastAsia="Times New Roman" w:hAnsi="Times New Roman" w:cs="Times New Roman"/>
          <w:lang w:eastAsia="en-GB"/>
        </w:rPr>
        <w:t>Griffith, J.A.G</w:t>
      </w:r>
      <w:r w:rsidR="00D1479D">
        <w:rPr>
          <w:rFonts w:ascii="Times New Roman" w:eastAsia="Times New Roman" w:hAnsi="Times New Roman" w:cs="Times New Roman"/>
          <w:lang w:eastAsia="en-GB"/>
        </w:rPr>
        <w:t>.</w:t>
      </w:r>
      <w:r w:rsidRPr="00532406">
        <w:rPr>
          <w:rFonts w:ascii="Times New Roman" w:eastAsia="Times New Roman" w:hAnsi="Times New Roman" w:cs="Times New Roman"/>
          <w:lang w:eastAsia="en-GB"/>
        </w:rPr>
        <w:t xml:space="preserve"> (1974) </w:t>
      </w:r>
      <w:r w:rsidRPr="00DC31C3">
        <w:rPr>
          <w:rFonts w:ascii="Times New Roman" w:eastAsia="Times New Roman" w:hAnsi="Times New Roman" w:cs="Times New Roman"/>
          <w:i/>
          <w:iCs/>
          <w:lang w:eastAsia="en-GB"/>
        </w:rPr>
        <w:t>Parliamentary Scrutiny of Government Bills</w:t>
      </w:r>
      <w:r w:rsidRPr="00532406">
        <w:rPr>
          <w:rFonts w:ascii="Times New Roman" w:eastAsia="Times New Roman" w:hAnsi="Times New Roman" w:cs="Times New Roman"/>
          <w:lang w:eastAsia="en-GB"/>
        </w:rPr>
        <w:t xml:space="preserve"> (</w:t>
      </w:r>
      <w:r w:rsidRPr="00DC31C3">
        <w:rPr>
          <w:rFonts w:ascii="Times New Roman" w:eastAsia="Times New Roman" w:hAnsi="Times New Roman" w:cs="Times New Roman"/>
          <w:lang w:eastAsia="en-GB"/>
        </w:rPr>
        <w:t>London</w:t>
      </w:r>
      <w:r w:rsidRPr="00532406">
        <w:rPr>
          <w:rFonts w:ascii="Times New Roman" w:eastAsia="Times New Roman" w:hAnsi="Times New Roman" w:cs="Times New Roman"/>
          <w:lang w:eastAsia="en-GB"/>
        </w:rPr>
        <w:t xml:space="preserve">: </w:t>
      </w:r>
      <w:r w:rsidRPr="00DC31C3">
        <w:rPr>
          <w:rFonts w:ascii="Times New Roman" w:eastAsia="Times New Roman" w:hAnsi="Times New Roman" w:cs="Times New Roman"/>
          <w:lang w:eastAsia="en-GB"/>
        </w:rPr>
        <w:t>Allen &amp; Unwin</w:t>
      </w:r>
      <w:r w:rsidRPr="00532406">
        <w:rPr>
          <w:rFonts w:ascii="Times New Roman" w:eastAsia="Times New Roman" w:hAnsi="Times New Roman" w:cs="Times New Roman"/>
          <w:lang w:eastAsia="en-GB"/>
        </w:rPr>
        <w:t>).</w:t>
      </w:r>
    </w:p>
    <w:p w14:paraId="5C1DF3FE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643C4100" w14:textId="77777777" w:rsidR="00532406" w:rsidRPr="00532406" w:rsidRDefault="00AA41F8" w:rsidP="00532406">
      <w:pPr>
        <w:spacing w:line="480" w:lineRule="auto"/>
        <w:ind w:left="720" w:hanging="720"/>
        <w:rPr>
          <w:rFonts w:ascii="Times New Roman" w:eastAsia="Times New Roman" w:hAnsi="Times New Roman" w:cs="Times New Roman"/>
          <w:lang w:eastAsia="en-GB"/>
        </w:rPr>
      </w:pPr>
      <w:r w:rsidRPr="00532406">
        <w:rPr>
          <w:rFonts w:ascii="Times New Roman" w:eastAsia="Times New Roman" w:hAnsi="Times New Roman" w:cs="Times New Roman"/>
          <w:lang w:eastAsia="en-GB"/>
        </w:rPr>
        <w:t xml:space="preserve">Halpin, Darren, MacLeod, Iain and </w:t>
      </w:r>
      <w:proofErr w:type="spellStart"/>
      <w:r w:rsidRPr="00532406">
        <w:rPr>
          <w:rFonts w:ascii="Times New Roman" w:eastAsia="Times New Roman" w:hAnsi="Times New Roman" w:cs="Times New Roman"/>
          <w:lang w:eastAsia="en-GB"/>
        </w:rPr>
        <w:t>McLaverty</w:t>
      </w:r>
      <w:proofErr w:type="spellEnd"/>
      <w:r w:rsidRPr="00532406">
        <w:rPr>
          <w:rFonts w:ascii="Times New Roman" w:eastAsia="Times New Roman" w:hAnsi="Times New Roman" w:cs="Times New Roman"/>
          <w:lang w:eastAsia="en-GB"/>
        </w:rPr>
        <w:t xml:space="preserve">, Peter. (2012) ‘Committee Hearings of the Scottish Parliament: Evidence Giving and Policy Learning’, </w:t>
      </w:r>
      <w:r w:rsidRPr="00532406">
        <w:rPr>
          <w:rFonts w:ascii="Times New Roman" w:eastAsia="Times New Roman" w:hAnsi="Times New Roman" w:cs="Times New Roman"/>
          <w:i/>
          <w:iCs/>
          <w:lang w:eastAsia="en-GB"/>
        </w:rPr>
        <w:t>The Journal of Legislative Studies</w:t>
      </w:r>
      <w:r w:rsidRPr="00532406">
        <w:rPr>
          <w:rFonts w:ascii="Times New Roman" w:eastAsia="Times New Roman" w:hAnsi="Times New Roman" w:cs="Times New Roman"/>
          <w:lang w:eastAsia="en-GB"/>
        </w:rPr>
        <w:t>, 18(1), pp.1-20.</w:t>
      </w:r>
    </w:p>
    <w:p w14:paraId="069BD94C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eastAsia="Times New Roman" w:hAnsi="Times New Roman" w:cs="Times New Roman"/>
          <w:lang w:eastAsia="en-GB"/>
        </w:rPr>
      </w:pPr>
    </w:p>
    <w:p w14:paraId="2C46E256" w14:textId="54867E77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hAnsi="Times New Roman" w:cs="Times New Roman"/>
        </w:rPr>
        <w:lastRenderedPageBreak/>
        <w:t>House of Commons</w:t>
      </w:r>
      <w:r w:rsidR="00555320">
        <w:rPr>
          <w:rFonts w:ascii="Times New Roman" w:hAnsi="Times New Roman" w:cs="Times New Roman"/>
        </w:rPr>
        <w:t xml:space="preserve"> (</w:t>
      </w:r>
      <w:proofErr w:type="spellStart"/>
      <w:r w:rsidR="00555320">
        <w:rPr>
          <w:rFonts w:ascii="Times New Roman" w:hAnsi="Times New Roman" w:cs="Times New Roman"/>
        </w:rPr>
        <w:t>HoC</w:t>
      </w:r>
      <w:proofErr w:type="spellEnd"/>
      <w:r w:rsidR="00555320">
        <w:rPr>
          <w:rFonts w:ascii="Times New Roman" w:hAnsi="Times New Roman" w:cs="Times New Roman"/>
        </w:rPr>
        <w:t>)</w:t>
      </w:r>
      <w:r w:rsidRPr="00532406">
        <w:rPr>
          <w:rFonts w:ascii="Times New Roman" w:hAnsi="Times New Roman" w:cs="Times New Roman"/>
        </w:rPr>
        <w:t>. (2021</w:t>
      </w:r>
      <w:r w:rsidR="00AB2317">
        <w:rPr>
          <w:rFonts w:ascii="Times New Roman" w:hAnsi="Times New Roman" w:cs="Times New Roman"/>
        </w:rPr>
        <w:t>a</w:t>
      </w:r>
      <w:r w:rsidRPr="00532406">
        <w:rPr>
          <w:rFonts w:ascii="Times New Roman" w:hAnsi="Times New Roman" w:cs="Times New Roman"/>
        </w:rPr>
        <w:t xml:space="preserve">) </w:t>
      </w:r>
      <w:r w:rsidRPr="00D1479D">
        <w:rPr>
          <w:rFonts w:ascii="Times New Roman" w:hAnsi="Times New Roman" w:cs="Times New Roman"/>
          <w:i/>
          <w:iCs/>
        </w:rPr>
        <w:t xml:space="preserve">Northern Ireland (Ministers, Elections and Petitions of Concern) Bill: </w:t>
      </w:r>
      <w:r w:rsidRPr="00D1479D">
        <w:rPr>
          <w:rFonts w:ascii="Times New Roman" w:eastAsia="Times New Roman" w:hAnsi="Times New Roman" w:cs="Times New Roman"/>
          <w:i/>
          <w:iCs/>
          <w:lang w:eastAsia="en-GB"/>
        </w:rPr>
        <w:t>(Amendment Paper)</w:t>
      </w:r>
      <w:r w:rsidRPr="00532406">
        <w:rPr>
          <w:rFonts w:ascii="Times New Roman" w:hAnsi="Times New Roman" w:cs="Times New Roman"/>
        </w:rPr>
        <w:t xml:space="preserve">. Available at: </w:t>
      </w:r>
      <w:hyperlink r:id="rId9" w:history="1">
        <w:r w:rsidRPr="00532406">
          <w:rPr>
            <w:rStyle w:val="Hyperlink"/>
            <w:rFonts w:ascii="Times New Roman" w:hAnsi="Times New Roman" w:cs="Times New Roman"/>
          </w:rPr>
          <w:t>https://publications.parliament.uk/pa/bills/cbill/58-02/0007/amend/nimepc_day_pbc_0706.pdf</w:t>
        </w:r>
      </w:hyperlink>
      <w:r w:rsidRPr="00532406">
        <w:rPr>
          <w:rFonts w:ascii="Times New Roman" w:hAnsi="Times New Roman" w:cs="Times New Roman"/>
        </w:rPr>
        <w:t xml:space="preserve"> </w:t>
      </w:r>
      <w:r w:rsidR="00D1479D">
        <w:rPr>
          <w:rFonts w:ascii="Times New Roman" w:hAnsi="Times New Roman" w:cs="Times New Roman"/>
        </w:rPr>
        <w:t>[Accessed: 24 March 2022].</w:t>
      </w:r>
    </w:p>
    <w:p w14:paraId="791C1347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4DF1927D" w14:textId="520BF1B0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hAnsi="Times New Roman" w:cs="Times New Roman"/>
        </w:rPr>
        <w:t>House of Commons</w:t>
      </w:r>
      <w:r w:rsidR="00555320">
        <w:rPr>
          <w:rFonts w:ascii="Times New Roman" w:hAnsi="Times New Roman" w:cs="Times New Roman"/>
        </w:rPr>
        <w:t xml:space="preserve"> (</w:t>
      </w:r>
      <w:proofErr w:type="spellStart"/>
      <w:r w:rsidR="00555320">
        <w:rPr>
          <w:rFonts w:ascii="Times New Roman" w:hAnsi="Times New Roman" w:cs="Times New Roman"/>
        </w:rPr>
        <w:t>HoC</w:t>
      </w:r>
      <w:proofErr w:type="spellEnd"/>
      <w:r w:rsidR="00555320">
        <w:rPr>
          <w:rFonts w:ascii="Times New Roman" w:hAnsi="Times New Roman" w:cs="Times New Roman"/>
        </w:rPr>
        <w:t>)</w:t>
      </w:r>
      <w:r w:rsidRPr="00532406">
        <w:rPr>
          <w:rFonts w:ascii="Times New Roman" w:hAnsi="Times New Roman" w:cs="Times New Roman"/>
        </w:rPr>
        <w:t>. (2021</w:t>
      </w:r>
      <w:r w:rsidR="00AB2317">
        <w:rPr>
          <w:rFonts w:ascii="Times New Roman" w:hAnsi="Times New Roman" w:cs="Times New Roman"/>
        </w:rPr>
        <w:t>b</w:t>
      </w:r>
      <w:r w:rsidRPr="00532406">
        <w:rPr>
          <w:rFonts w:ascii="Times New Roman" w:hAnsi="Times New Roman" w:cs="Times New Roman"/>
        </w:rPr>
        <w:t xml:space="preserve">) </w:t>
      </w:r>
      <w:r w:rsidRPr="00D1479D">
        <w:rPr>
          <w:rFonts w:ascii="Times New Roman" w:eastAsia="Times New Roman" w:hAnsi="Times New Roman" w:cs="Times New Roman"/>
          <w:i/>
          <w:iCs/>
          <w:lang w:eastAsia="en-GB"/>
        </w:rPr>
        <w:t>Public Bill Committee: Northern Ireland (Ministers, Elections and Petitions of Concern) Bill: Third Sitting</w:t>
      </w:r>
      <w:r w:rsidRPr="00532406">
        <w:rPr>
          <w:rFonts w:ascii="Times New Roman" w:eastAsia="Times New Roman" w:hAnsi="Times New Roman" w:cs="Times New Roman"/>
          <w:lang w:eastAsia="en-GB"/>
        </w:rPr>
        <w:t xml:space="preserve">. Available at: </w:t>
      </w:r>
      <w:hyperlink r:id="rId10" w:history="1">
        <w:r w:rsidRPr="00532406">
          <w:rPr>
            <w:rStyle w:val="Hyperlink"/>
            <w:rFonts w:ascii="Times New Roman" w:eastAsia="Times New Roman" w:hAnsi="Times New Roman" w:cs="Times New Roman"/>
            <w:lang w:eastAsia="en-GB"/>
          </w:rPr>
          <w:t>file:///Users/jackliddall/Downloads/Commons-2021-07-06-Northern%20Ireland%20(Ministers,%20Elections%20and%20Petitions%20of%20Concern)%20Bill%20(Third%20sitt%20(1).pdf</w:t>
        </w:r>
      </w:hyperlink>
      <w:r w:rsidRPr="00532406">
        <w:rPr>
          <w:rFonts w:ascii="Times New Roman" w:eastAsia="Times New Roman" w:hAnsi="Times New Roman" w:cs="Times New Roman"/>
          <w:lang w:eastAsia="en-GB"/>
        </w:rPr>
        <w:t xml:space="preserve"> </w:t>
      </w:r>
      <w:r w:rsidR="00D1479D">
        <w:rPr>
          <w:rFonts w:ascii="Times New Roman" w:eastAsia="Times New Roman" w:hAnsi="Times New Roman" w:cs="Times New Roman"/>
          <w:lang w:eastAsia="en-GB"/>
        </w:rPr>
        <w:t>[Accessed: 25 March 2022].</w:t>
      </w:r>
    </w:p>
    <w:p w14:paraId="2162120F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</w:rPr>
      </w:pPr>
    </w:p>
    <w:p w14:paraId="3BAE53BF" w14:textId="3D1E69B5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hAnsi="Times New Roman" w:cs="Times New Roman"/>
        </w:rPr>
        <w:t>Jeffrey, Charles, and Mitchell, James</w:t>
      </w:r>
      <w:r w:rsidR="00CB7A29">
        <w:rPr>
          <w:rFonts w:ascii="Times New Roman" w:hAnsi="Times New Roman" w:cs="Times New Roman"/>
        </w:rPr>
        <w:t>.</w:t>
      </w:r>
      <w:r w:rsidRPr="00532406">
        <w:rPr>
          <w:rFonts w:ascii="Times New Roman" w:hAnsi="Times New Roman" w:cs="Times New Roman"/>
        </w:rPr>
        <w:t xml:space="preserve"> (eds.) (2009) </w:t>
      </w:r>
      <w:r w:rsidRPr="00532406">
        <w:rPr>
          <w:rFonts w:ascii="Times New Roman" w:hAnsi="Times New Roman" w:cs="Times New Roman"/>
          <w:i/>
          <w:iCs/>
        </w:rPr>
        <w:t>The Scottish Parliament, 1999-2009</w:t>
      </w:r>
      <w:r w:rsidRPr="00532406">
        <w:rPr>
          <w:rFonts w:ascii="Times New Roman" w:hAnsi="Times New Roman" w:cs="Times New Roman"/>
        </w:rPr>
        <w:t xml:space="preserve"> (Edinburgh: </w:t>
      </w:r>
      <w:proofErr w:type="spellStart"/>
      <w:r w:rsidRPr="00532406">
        <w:rPr>
          <w:rFonts w:ascii="Times New Roman" w:hAnsi="Times New Roman" w:cs="Times New Roman"/>
        </w:rPr>
        <w:t>Luath</w:t>
      </w:r>
      <w:proofErr w:type="spellEnd"/>
      <w:r w:rsidRPr="00532406">
        <w:rPr>
          <w:rFonts w:ascii="Times New Roman" w:hAnsi="Times New Roman" w:cs="Times New Roman"/>
        </w:rPr>
        <w:t xml:space="preserve"> Press).</w:t>
      </w:r>
    </w:p>
    <w:p w14:paraId="1E81B464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404AD615" w14:textId="52CA1035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084995">
        <w:rPr>
          <w:rFonts w:ascii="Times New Roman" w:eastAsia="Times New Roman" w:hAnsi="Times New Roman" w:cs="Times New Roman"/>
          <w:lang w:eastAsia="en-GB"/>
        </w:rPr>
        <w:t xml:space="preserve">Judge, D. (1993) </w:t>
      </w:r>
      <w:r w:rsidRPr="00084995">
        <w:rPr>
          <w:rFonts w:ascii="Times New Roman" w:eastAsia="Times New Roman" w:hAnsi="Times New Roman" w:cs="Times New Roman"/>
          <w:i/>
          <w:iCs/>
          <w:lang w:eastAsia="en-GB"/>
        </w:rPr>
        <w:t>The Parliamentary State</w:t>
      </w:r>
      <w:r w:rsidRPr="00532406">
        <w:rPr>
          <w:rFonts w:ascii="Times New Roman" w:eastAsia="Times New Roman" w:hAnsi="Times New Roman" w:cs="Times New Roman"/>
          <w:lang w:eastAsia="en-GB"/>
        </w:rPr>
        <w:t xml:space="preserve"> (</w:t>
      </w:r>
      <w:r w:rsidRPr="00084995">
        <w:rPr>
          <w:rFonts w:ascii="Times New Roman" w:eastAsia="Times New Roman" w:hAnsi="Times New Roman" w:cs="Times New Roman"/>
          <w:lang w:eastAsia="en-GB"/>
        </w:rPr>
        <w:t>London: Sage</w:t>
      </w:r>
      <w:r w:rsidRPr="00532406">
        <w:rPr>
          <w:rFonts w:ascii="Times New Roman" w:eastAsia="Times New Roman" w:hAnsi="Times New Roman" w:cs="Times New Roman"/>
          <w:lang w:eastAsia="en-GB"/>
        </w:rPr>
        <w:t>).</w:t>
      </w:r>
    </w:p>
    <w:p w14:paraId="35B088F2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2C53ECAD" w14:textId="3E693540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04278A">
        <w:rPr>
          <w:rFonts w:ascii="Times New Roman" w:eastAsia="Times New Roman" w:hAnsi="Times New Roman" w:cs="Times New Roman"/>
          <w:lang w:eastAsia="en-GB"/>
        </w:rPr>
        <w:t>Kelso, A</w:t>
      </w:r>
      <w:r w:rsidR="00EB335D">
        <w:rPr>
          <w:rFonts w:ascii="Times New Roman" w:eastAsia="Times New Roman" w:hAnsi="Times New Roman" w:cs="Times New Roman"/>
          <w:lang w:eastAsia="en-GB"/>
        </w:rPr>
        <w:t>lexandro</w:t>
      </w:r>
      <w:r w:rsidRPr="0004278A">
        <w:rPr>
          <w:rFonts w:ascii="Times New Roman" w:eastAsia="Times New Roman" w:hAnsi="Times New Roman" w:cs="Times New Roman"/>
          <w:lang w:eastAsia="en-GB"/>
        </w:rPr>
        <w:t xml:space="preserve">. (2009) </w:t>
      </w:r>
      <w:r w:rsidRPr="0004278A">
        <w:rPr>
          <w:rFonts w:ascii="Times New Roman" w:eastAsia="Times New Roman" w:hAnsi="Times New Roman" w:cs="Times New Roman"/>
          <w:i/>
          <w:iCs/>
          <w:lang w:eastAsia="en-GB"/>
        </w:rPr>
        <w:t>Parliamentary Reform at Westminster</w:t>
      </w:r>
      <w:r w:rsidRPr="00532406">
        <w:rPr>
          <w:rFonts w:ascii="Times New Roman" w:eastAsia="Times New Roman" w:hAnsi="Times New Roman" w:cs="Times New Roman"/>
          <w:lang w:eastAsia="en-GB"/>
        </w:rPr>
        <w:t xml:space="preserve"> (</w:t>
      </w:r>
      <w:r w:rsidRPr="0004278A">
        <w:rPr>
          <w:rFonts w:ascii="Times New Roman" w:eastAsia="Times New Roman" w:hAnsi="Times New Roman" w:cs="Times New Roman"/>
          <w:lang w:eastAsia="en-GB"/>
        </w:rPr>
        <w:t>Manchester: Manchester University Press</w:t>
      </w:r>
      <w:r w:rsidRPr="00532406">
        <w:rPr>
          <w:rFonts w:ascii="Times New Roman" w:eastAsia="Times New Roman" w:hAnsi="Times New Roman" w:cs="Times New Roman"/>
          <w:lang w:eastAsia="en-GB"/>
        </w:rPr>
        <w:t>).</w:t>
      </w:r>
    </w:p>
    <w:p w14:paraId="0CD358E0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16085D3D" w14:textId="1B9E6AAA" w:rsidR="00532406" w:rsidRPr="00532406" w:rsidRDefault="00AA41F8" w:rsidP="00532406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FFFFF"/>
          <w:lang w:eastAsia="en-GB"/>
        </w:rPr>
      </w:pPr>
      <w:r w:rsidRPr="00532406">
        <w:rPr>
          <w:rFonts w:ascii="Times New Roman" w:eastAsia="Times New Roman" w:hAnsi="Times New Roman" w:cs="Times New Roman"/>
          <w:shd w:val="clear" w:color="auto" w:fill="FFFFFF"/>
          <w:lang w:eastAsia="en-GB"/>
        </w:rPr>
        <w:t>King, Anthony and Crewe, Ivor</w:t>
      </w:r>
      <w:r w:rsidR="00EB335D">
        <w:rPr>
          <w:rFonts w:ascii="Times New Roman" w:eastAsia="Times New Roman" w:hAnsi="Times New Roman" w:cs="Times New Roman"/>
          <w:shd w:val="clear" w:color="auto" w:fill="FFFFFF"/>
          <w:lang w:eastAsia="en-GB"/>
        </w:rPr>
        <w:t>. (2013)</w:t>
      </w:r>
      <w:r w:rsidRPr="00532406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 </w:t>
      </w:r>
      <w:r w:rsidRPr="00DC31C3">
        <w:rPr>
          <w:rFonts w:ascii="Times New Roman" w:eastAsia="Times New Roman" w:hAnsi="Times New Roman" w:cs="Times New Roman"/>
          <w:i/>
          <w:iCs/>
          <w:shd w:val="clear" w:color="auto" w:fill="FFFFFF"/>
          <w:lang w:eastAsia="en-GB"/>
        </w:rPr>
        <w:t>The Blunders of  Our Governments</w:t>
      </w:r>
      <w:r w:rsidRPr="00532406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 (London: </w:t>
      </w:r>
      <w:proofErr w:type="spellStart"/>
      <w:r w:rsidRPr="00532406">
        <w:rPr>
          <w:rFonts w:ascii="Times New Roman" w:eastAsia="Times New Roman" w:hAnsi="Times New Roman" w:cs="Times New Roman"/>
          <w:shd w:val="clear" w:color="auto" w:fill="FFFFFF"/>
          <w:lang w:eastAsia="en-GB"/>
        </w:rPr>
        <w:t>Oneworld</w:t>
      </w:r>
      <w:proofErr w:type="spellEnd"/>
      <w:r w:rsidRPr="00532406">
        <w:rPr>
          <w:rFonts w:ascii="Times New Roman" w:eastAsia="Times New Roman" w:hAnsi="Times New Roman" w:cs="Times New Roman"/>
          <w:shd w:val="clear" w:color="auto" w:fill="FFFFFF"/>
          <w:lang w:eastAsia="en-GB"/>
        </w:rPr>
        <w:t>).</w:t>
      </w:r>
    </w:p>
    <w:p w14:paraId="0FD31560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FFFFF"/>
          <w:lang w:eastAsia="en-GB"/>
        </w:rPr>
      </w:pPr>
    </w:p>
    <w:p w14:paraId="24841639" w14:textId="77777777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hAnsi="Times New Roman" w:cs="Times New Roman"/>
          <w:color w:val="000000" w:themeColor="text1"/>
        </w:rPr>
        <w:t xml:space="preserve">Levy, Jessica. (2010) ‘Public Bill Committees: An Assessment Scrutiny Sought; Scrutiny Gained’, </w:t>
      </w:r>
      <w:r w:rsidRPr="00532406">
        <w:rPr>
          <w:rFonts w:ascii="Times New Roman" w:hAnsi="Times New Roman" w:cs="Times New Roman"/>
          <w:i/>
          <w:iCs/>
          <w:color w:val="000000" w:themeColor="text1"/>
        </w:rPr>
        <w:t>Parliamentary Affairs</w:t>
      </w:r>
      <w:r w:rsidRPr="00532406">
        <w:rPr>
          <w:rFonts w:ascii="Times New Roman" w:hAnsi="Times New Roman" w:cs="Times New Roman"/>
          <w:color w:val="000000" w:themeColor="text1"/>
        </w:rPr>
        <w:t>, 63(3), pp.534-544</w:t>
      </w:r>
      <w:r w:rsidR="00381BCF" w:rsidRPr="00532406">
        <w:rPr>
          <w:rFonts w:ascii="Times New Roman" w:hAnsi="Times New Roman" w:cs="Times New Roman"/>
          <w:color w:val="000000" w:themeColor="text1"/>
        </w:rPr>
        <w:t>.</w:t>
      </w:r>
    </w:p>
    <w:p w14:paraId="344019BF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</w:rPr>
      </w:pPr>
    </w:p>
    <w:p w14:paraId="2DEFC4A8" w14:textId="77777777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proofErr w:type="spellStart"/>
      <w:r w:rsidRPr="00532406">
        <w:rPr>
          <w:rFonts w:ascii="Times New Roman" w:hAnsi="Times New Roman" w:cs="Times New Roman"/>
        </w:rPr>
        <w:lastRenderedPageBreak/>
        <w:t>Lidington</w:t>
      </w:r>
      <w:proofErr w:type="spellEnd"/>
      <w:r w:rsidRPr="00532406">
        <w:rPr>
          <w:rFonts w:ascii="Times New Roman" w:hAnsi="Times New Roman" w:cs="Times New Roman"/>
        </w:rPr>
        <w:t>, David</w:t>
      </w:r>
      <w:r w:rsidRPr="00532406">
        <w:rPr>
          <w:rFonts w:ascii="Times New Roman" w:hAnsi="Times New Roman" w:cs="Times New Roman"/>
          <w:i/>
          <w:iCs/>
        </w:rPr>
        <w:t xml:space="preserve">. Oral questions with Sir David </w:t>
      </w:r>
      <w:proofErr w:type="spellStart"/>
      <w:r w:rsidRPr="00532406">
        <w:rPr>
          <w:rFonts w:ascii="Times New Roman" w:hAnsi="Times New Roman" w:cs="Times New Roman"/>
          <w:i/>
          <w:iCs/>
        </w:rPr>
        <w:t>Lidington</w:t>
      </w:r>
      <w:proofErr w:type="spellEnd"/>
      <w:r w:rsidRPr="00532406">
        <w:rPr>
          <w:rFonts w:ascii="Times New Roman" w:hAnsi="Times New Roman" w:cs="Times New Roman"/>
          <w:i/>
          <w:iCs/>
        </w:rPr>
        <w:t xml:space="preserve"> (Former Leader of the House of Commons) in Spring 2022</w:t>
      </w:r>
      <w:r w:rsidRPr="00532406">
        <w:rPr>
          <w:rFonts w:ascii="Times New Roman" w:hAnsi="Times New Roman" w:cs="Times New Roman"/>
        </w:rPr>
        <w:t xml:space="preserve">. Available at: </w:t>
      </w:r>
      <w:hyperlink r:id="rId11" w:history="1">
        <w:r w:rsidRPr="00532406">
          <w:rPr>
            <w:rStyle w:val="Hyperlink"/>
            <w:rFonts w:ascii="Times New Roman" w:hAnsi="Times New Roman" w:cs="Times New Roman"/>
          </w:rPr>
          <w:t>https://ed-ac-uk.zoom.us/rec/share/XFnn2vLsx7IIuQNZMWa-D4xvobSiuqIxD4pAKVpKVj5sLDkObJv6Kod6Mjy8HaOt.RyeOVpcS5fQBbO2N?startTime=1646852521000</w:t>
        </w:r>
      </w:hyperlink>
      <w:r w:rsidRPr="00532406">
        <w:rPr>
          <w:rFonts w:ascii="Times New Roman" w:hAnsi="Times New Roman" w:cs="Times New Roman"/>
        </w:rPr>
        <w:t xml:space="preserve"> </w:t>
      </w:r>
    </w:p>
    <w:p w14:paraId="6A1FD97D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B75A09F" w14:textId="41BD60FC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Martin, Lanny and </w:t>
      </w:r>
      <w:proofErr w:type="spellStart"/>
      <w:r w:rsidRPr="00532406">
        <w:rPr>
          <w:rFonts w:ascii="Times New Roman" w:eastAsia="Times New Roman" w:hAnsi="Times New Roman" w:cs="Times New Roman"/>
          <w:shd w:val="clear" w:color="auto" w:fill="FFFFFF"/>
          <w:lang w:eastAsia="en-GB"/>
        </w:rPr>
        <w:t>Vanberg</w:t>
      </w:r>
      <w:proofErr w:type="spellEnd"/>
      <w:r w:rsidRPr="00532406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, Georg. (2011) </w:t>
      </w:r>
      <w:r w:rsidRPr="00532406">
        <w:rPr>
          <w:rFonts w:ascii="Times New Roman" w:eastAsia="Times New Roman" w:hAnsi="Times New Roman" w:cs="Times New Roman"/>
          <w:i/>
          <w:iCs/>
          <w:shd w:val="clear" w:color="auto" w:fill="FFFFFF"/>
          <w:lang w:eastAsia="en-GB"/>
        </w:rPr>
        <w:t xml:space="preserve">Parliaments and Coalitions: The Role of Legislative </w:t>
      </w:r>
      <w:r w:rsidR="008E6DE6" w:rsidRPr="00532406">
        <w:rPr>
          <w:rFonts w:ascii="Times New Roman" w:eastAsia="Times New Roman" w:hAnsi="Times New Roman" w:cs="Times New Roman"/>
          <w:i/>
          <w:iCs/>
          <w:shd w:val="clear" w:color="auto" w:fill="FFFFFF"/>
          <w:lang w:eastAsia="en-GB"/>
        </w:rPr>
        <w:t>Institutions</w:t>
      </w:r>
      <w:r w:rsidRPr="00532406">
        <w:rPr>
          <w:rFonts w:ascii="Times New Roman" w:eastAsia="Times New Roman" w:hAnsi="Times New Roman" w:cs="Times New Roman"/>
          <w:i/>
          <w:iCs/>
          <w:shd w:val="clear" w:color="auto" w:fill="FFFFFF"/>
          <w:lang w:eastAsia="en-GB"/>
        </w:rPr>
        <w:t xml:space="preserve"> in Multiparty Governance</w:t>
      </w:r>
      <w:r w:rsidRPr="00532406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 (Oxford: Oxford University Press).</w:t>
      </w:r>
    </w:p>
    <w:p w14:paraId="1C4C84E6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ECB1A34" w14:textId="70C9E646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084995">
        <w:rPr>
          <w:rFonts w:ascii="Times New Roman" w:eastAsia="Times New Roman" w:hAnsi="Times New Roman" w:cs="Times New Roman"/>
          <w:lang w:eastAsia="en-GB"/>
        </w:rPr>
        <w:t xml:space="preserve">Mattson, Ingvar, and </w:t>
      </w:r>
      <w:proofErr w:type="spellStart"/>
      <w:r w:rsidRPr="00084995">
        <w:rPr>
          <w:rFonts w:ascii="Times New Roman" w:eastAsia="Times New Roman" w:hAnsi="Times New Roman" w:cs="Times New Roman"/>
          <w:lang w:eastAsia="en-GB"/>
        </w:rPr>
        <w:t>Str</w:t>
      </w:r>
      <w:r w:rsidR="00851ED4">
        <w:rPr>
          <w:rFonts w:ascii="Times New Roman" w:eastAsia="Times New Roman" w:hAnsi="Times New Roman" w:cs="Times New Roman"/>
          <w:lang w:eastAsia="en-GB"/>
        </w:rPr>
        <w:t>ø</w:t>
      </w:r>
      <w:r w:rsidRPr="00084995">
        <w:rPr>
          <w:rFonts w:ascii="Times New Roman" w:eastAsia="Times New Roman" w:hAnsi="Times New Roman" w:cs="Times New Roman"/>
          <w:lang w:eastAsia="en-GB"/>
        </w:rPr>
        <w:t>m</w:t>
      </w:r>
      <w:proofErr w:type="spellEnd"/>
      <w:r w:rsidRPr="0053240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084995">
        <w:rPr>
          <w:rFonts w:ascii="Times New Roman" w:eastAsia="Times New Roman" w:hAnsi="Times New Roman" w:cs="Times New Roman"/>
          <w:lang w:eastAsia="en-GB"/>
        </w:rPr>
        <w:t>Kaare</w:t>
      </w:r>
      <w:proofErr w:type="spellEnd"/>
      <w:r w:rsidRPr="00532406">
        <w:rPr>
          <w:rFonts w:ascii="Times New Roman" w:eastAsia="Times New Roman" w:hAnsi="Times New Roman" w:cs="Times New Roman"/>
          <w:lang w:eastAsia="en-GB"/>
        </w:rPr>
        <w:t>.</w:t>
      </w:r>
      <w:r w:rsidRPr="00084995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532406">
        <w:rPr>
          <w:rFonts w:ascii="Times New Roman" w:eastAsia="Times New Roman" w:hAnsi="Times New Roman" w:cs="Times New Roman"/>
          <w:lang w:eastAsia="en-GB"/>
        </w:rPr>
        <w:t>(</w:t>
      </w:r>
      <w:r w:rsidRPr="00084995">
        <w:rPr>
          <w:rFonts w:ascii="Times New Roman" w:eastAsia="Times New Roman" w:hAnsi="Times New Roman" w:cs="Times New Roman"/>
          <w:lang w:eastAsia="en-GB"/>
        </w:rPr>
        <w:t>2004</w:t>
      </w:r>
      <w:r w:rsidRPr="00532406">
        <w:rPr>
          <w:rFonts w:ascii="Times New Roman" w:eastAsia="Times New Roman" w:hAnsi="Times New Roman" w:cs="Times New Roman"/>
          <w:lang w:eastAsia="en-GB"/>
        </w:rPr>
        <w:t>) ‘</w:t>
      </w:r>
      <w:r w:rsidRPr="00084995">
        <w:rPr>
          <w:rFonts w:ascii="Times New Roman" w:eastAsia="Times New Roman" w:hAnsi="Times New Roman" w:cs="Times New Roman"/>
          <w:lang w:eastAsia="en-GB"/>
        </w:rPr>
        <w:t>Committee Effects on Legislation</w:t>
      </w:r>
      <w:r w:rsidRPr="00532406">
        <w:rPr>
          <w:rFonts w:ascii="Times New Roman" w:eastAsia="Times New Roman" w:hAnsi="Times New Roman" w:cs="Times New Roman"/>
          <w:lang w:eastAsia="en-GB"/>
        </w:rPr>
        <w:t>’</w:t>
      </w:r>
      <w:r w:rsidRPr="00084995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532406">
        <w:rPr>
          <w:rFonts w:ascii="Times New Roman" w:eastAsia="Times New Roman" w:hAnsi="Times New Roman" w:cs="Times New Roman"/>
          <w:lang w:eastAsia="en-GB"/>
        </w:rPr>
        <w:t>in</w:t>
      </w:r>
      <w:r w:rsidRPr="00084995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84995">
        <w:rPr>
          <w:rFonts w:ascii="Times New Roman" w:eastAsia="Times New Roman" w:hAnsi="Times New Roman" w:cs="Times New Roman"/>
          <w:lang w:eastAsia="en-GB"/>
        </w:rPr>
        <w:t>Döring</w:t>
      </w:r>
      <w:proofErr w:type="spellEnd"/>
      <w:r w:rsidRPr="00532406">
        <w:rPr>
          <w:rFonts w:ascii="Times New Roman" w:eastAsia="Times New Roman" w:hAnsi="Times New Roman" w:cs="Times New Roman"/>
          <w:lang w:eastAsia="en-GB"/>
        </w:rPr>
        <w:t>, Herbert</w:t>
      </w:r>
      <w:r w:rsidRPr="00084995">
        <w:rPr>
          <w:rFonts w:ascii="Times New Roman" w:eastAsia="Times New Roman" w:hAnsi="Times New Roman" w:cs="Times New Roman"/>
          <w:lang w:eastAsia="en-GB"/>
        </w:rPr>
        <w:t xml:space="preserve"> and </w:t>
      </w:r>
      <w:proofErr w:type="spellStart"/>
      <w:r w:rsidRPr="00084995">
        <w:rPr>
          <w:rFonts w:ascii="Times New Roman" w:eastAsia="Times New Roman" w:hAnsi="Times New Roman" w:cs="Times New Roman"/>
          <w:lang w:eastAsia="en-GB"/>
        </w:rPr>
        <w:t>Hallerberg</w:t>
      </w:r>
      <w:proofErr w:type="spellEnd"/>
      <w:r w:rsidRPr="00532406">
        <w:rPr>
          <w:rFonts w:ascii="Times New Roman" w:eastAsia="Times New Roman" w:hAnsi="Times New Roman" w:cs="Times New Roman"/>
          <w:lang w:eastAsia="en-GB"/>
        </w:rPr>
        <w:t xml:space="preserve">, Mark (eds.) </w:t>
      </w:r>
      <w:r w:rsidRPr="00084995">
        <w:rPr>
          <w:rFonts w:ascii="Times New Roman" w:eastAsia="Times New Roman" w:hAnsi="Times New Roman" w:cs="Times New Roman"/>
          <w:i/>
          <w:iCs/>
          <w:lang w:eastAsia="en-GB"/>
        </w:rPr>
        <w:t>Patterns of Parliamentary Behaviour</w:t>
      </w:r>
      <w:r w:rsidRPr="00532406">
        <w:rPr>
          <w:rFonts w:ascii="Times New Roman" w:eastAsia="Times New Roman" w:hAnsi="Times New Roman" w:cs="Times New Roman"/>
          <w:i/>
          <w:iCs/>
          <w:lang w:eastAsia="en-GB"/>
        </w:rPr>
        <w:t xml:space="preserve">: </w:t>
      </w:r>
      <w:r w:rsidRPr="00084995">
        <w:rPr>
          <w:rFonts w:ascii="Times New Roman" w:eastAsia="Times New Roman" w:hAnsi="Times New Roman" w:cs="Times New Roman"/>
          <w:i/>
          <w:iCs/>
          <w:lang w:eastAsia="en-GB"/>
        </w:rPr>
        <w:t>Passage of Legislation across Western Europe</w:t>
      </w:r>
      <w:r w:rsidRPr="00532406">
        <w:rPr>
          <w:rFonts w:ascii="Times New Roman" w:eastAsia="Times New Roman" w:hAnsi="Times New Roman" w:cs="Times New Roman"/>
          <w:lang w:eastAsia="en-GB"/>
        </w:rPr>
        <w:t xml:space="preserve"> (Ashgate: </w:t>
      </w:r>
      <w:r w:rsidRPr="00084995">
        <w:rPr>
          <w:rFonts w:ascii="Times New Roman" w:eastAsia="Times New Roman" w:hAnsi="Times New Roman" w:cs="Times New Roman"/>
          <w:lang w:eastAsia="en-GB"/>
        </w:rPr>
        <w:t>Aldershot</w:t>
      </w:r>
      <w:r w:rsidRPr="00532406">
        <w:rPr>
          <w:rFonts w:ascii="Times New Roman" w:eastAsia="Times New Roman" w:hAnsi="Times New Roman" w:cs="Times New Roman"/>
          <w:lang w:eastAsia="en-GB"/>
        </w:rPr>
        <w:t>).</w:t>
      </w:r>
    </w:p>
    <w:p w14:paraId="757F0E90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D32BC27" w14:textId="77777777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532406">
        <w:rPr>
          <w:rFonts w:ascii="Times New Roman" w:hAnsi="Times New Roman" w:cs="Times New Roman"/>
        </w:rPr>
        <w:t xml:space="preserve">Member of the Scottish Parliament (MSP) (A). </w:t>
      </w:r>
      <w:r w:rsidRPr="00C12E00">
        <w:rPr>
          <w:rFonts w:ascii="Times New Roman" w:hAnsi="Times New Roman" w:cs="Times New Roman"/>
          <w:i/>
          <w:iCs/>
        </w:rPr>
        <w:t>Written communication with MSP (A) [name redacted to ensure anonymity] on 4 April 2022</w:t>
      </w:r>
      <w:r w:rsidRPr="00532406">
        <w:rPr>
          <w:rFonts w:ascii="Times New Roman" w:hAnsi="Times New Roman" w:cs="Times New Roman"/>
        </w:rPr>
        <w:t xml:space="preserve">. Available at: </w:t>
      </w:r>
      <w:hyperlink r:id="rId12" w:history="1">
        <w:r w:rsidRPr="00532406">
          <w:rPr>
            <w:rStyle w:val="Hyperlink"/>
            <w:rFonts w:ascii="Times New Roman" w:hAnsi="Times New Roman" w:cs="Times New Roman"/>
          </w:rPr>
          <w:t>https://docs.google.com/document/d/1HNNg07v7PZexh0XZZUw7XuUT6brgMvh-/edit?usp=sharing&amp;ouid=104758876655123674254&amp;rtpof=true&amp;sd=true</w:t>
        </w:r>
      </w:hyperlink>
      <w:r w:rsidRPr="00532406">
        <w:rPr>
          <w:rFonts w:ascii="Times New Roman" w:hAnsi="Times New Roman" w:cs="Times New Roman"/>
        </w:rPr>
        <w:t xml:space="preserve"> </w:t>
      </w:r>
    </w:p>
    <w:p w14:paraId="48E052B2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2E914E3B" w14:textId="77777777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hAnsi="Times New Roman" w:cs="Times New Roman"/>
          <w:color w:val="000000" w:themeColor="text1"/>
        </w:rPr>
        <w:t xml:space="preserve">Mitchell, James. (2010) ‘The Narcissism of Small Differences: Scotland and Westminster’, </w:t>
      </w:r>
      <w:r w:rsidRPr="00532406">
        <w:rPr>
          <w:rFonts w:ascii="Times New Roman" w:hAnsi="Times New Roman" w:cs="Times New Roman"/>
          <w:i/>
          <w:iCs/>
          <w:color w:val="000000" w:themeColor="text1"/>
        </w:rPr>
        <w:t>Parliamentary Affairs</w:t>
      </w:r>
      <w:r w:rsidRPr="00532406">
        <w:rPr>
          <w:rFonts w:ascii="Times New Roman" w:hAnsi="Times New Roman" w:cs="Times New Roman"/>
          <w:color w:val="000000" w:themeColor="text1"/>
        </w:rPr>
        <w:t>, 63(1), pp.98-116.</w:t>
      </w:r>
    </w:p>
    <w:p w14:paraId="327ABF25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26699975" w14:textId="77777777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hAnsi="Times New Roman" w:cs="Times New Roman"/>
        </w:rPr>
        <w:t>Mitchell, James. (2022) ‘Scottish Left Review article’ [unpublished].</w:t>
      </w:r>
    </w:p>
    <w:p w14:paraId="3B2C580F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51A04B50" w14:textId="3A1DE0C4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4D5251">
        <w:rPr>
          <w:rFonts w:ascii="Times New Roman" w:eastAsia="Times New Roman" w:hAnsi="Times New Roman" w:cs="Times New Roman"/>
          <w:lang w:eastAsia="en-GB"/>
        </w:rPr>
        <w:t>Moran, M</w:t>
      </w:r>
      <w:r w:rsidRPr="00532406">
        <w:rPr>
          <w:rFonts w:ascii="Times New Roman" w:eastAsia="Times New Roman" w:hAnsi="Times New Roman" w:cs="Times New Roman"/>
          <w:lang w:eastAsia="en-GB"/>
        </w:rPr>
        <w:t xml:space="preserve">. (2005) </w:t>
      </w:r>
      <w:r w:rsidRPr="004D5251">
        <w:rPr>
          <w:rFonts w:ascii="Times New Roman" w:eastAsia="Times New Roman" w:hAnsi="Times New Roman" w:cs="Times New Roman"/>
          <w:i/>
          <w:iCs/>
          <w:lang w:eastAsia="en-GB"/>
        </w:rPr>
        <w:t>Politics and Governance in the UK</w:t>
      </w:r>
      <w:r w:rsidRPr="004D525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532406">
        <w:rPr>
          <w:rFonts w:ascii="Times New Roman" w:eastAsia="Times New Roman" w:hAnsi="Times New Roman" w:cs="Times New Roman"/>
          <w:lang w:eastAsia="en-GB"/>
        </w:rPr>
        <w:t>(</w:t>
      </w:r>
      <w:r w:rsidRPr="004D5251">
        <w:rPr>
          <w:rFonts w:ascii="Times New Roman" w:eastAsia="Times New Roman" w:hAnsi="Times New Roman" w:cs="Times New Roman"/>
          <w:lang w:eastAsia="en-GB"/>
        </w:rPr>
        <w:t>Basingstoke: Palgrave</w:t>
      </w:r>
      <w:r w:rsidRPr="00532406">
        <w:rPr>
          <w:rFonts w:ascii="Times New Roman" w:eastAsia="Times New Roman" w:hAnsi="Times New Roman" w:cs="Times New Roman"/>
          <w:lang w:eastAsia="en-GB"/>
        </w:rPr>
        <w:t>).</w:t>
      </w:r>
    </w:p>
    <w:p w14:paraId="091B8F19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2DA605DC" w14:textId="77777777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hAnsi="Times New Roman" w:cs="Times New Roman"/>
        </w:rPr>
        <w:lastRenderedPageBreak/>
        <w:t xml:space="preserve">Northern Ireland (Ministers, Elections and Petitions of Concern) Act 2022. Available at: </w:t>
      </w:r>
      <w:hyperlink r:id="rId13" w:history="1">
        <w:r w:rsidRPr="00532406">
          <w:rPr>
            <w:rStyle w:val="Hyperlink"/>
            <w:rFonts w:ascii="Times New Roman" w:hAnsi="Times New Roman" w:cs="Times New Roman"/>
          </w:rPr>
          <w:t>https://www.legislation.gov.uk/ukpga/2022/2/contents/enacted</w:t>
        </w:r>
      </w:hyperlink>
      <w:r w:rsidRPr="00532406">
        <w:rPr>
          <w:rFonts w:ascii="Times New Roman" w:hAnsi="Times New Roman" w:cs="Times New Roman"/>
        </w:rPr>
        <w:t xml:space="preserve"> [Accessed: 28 February 2022]. </w:t>
      </w:r>
    </w:p>
    <w:p w14:paraId="6AE17FF4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34A2FBCC" w14:textId="0C2BFE21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eastAsia="Times New Roman" w:hAnsi="Times New Roman" w:cs="Times New Roman"/>
          <w:lang w:eastAsia="en-GB"/>
        </w:rPr>
        <w:t>N</w:t>
      </w:r>
      <w:r w:rsidRPr="0004278A">
        <w:rPr>
          <w:rFonts w:ascii="Times New Roman" w:eastAsia="Times New Roman" w:hAnsi="Times New Roman" w:cs="Times New Roman"/>
          <w:lang w:eastAsia="en-GB"/>
        </w:rPr>
        <w:t>orton</w:t>
      </w:r>
      <w:r w:rsidRPr="00532406">
        <w:rPr>
          <w:rFonts w:ascii="Times New Roman" w:eastAsia="Times New Roman" w:hAnsi="Times New Roman" w:cs="Times New Roman"/>
          <w:lang w:eastAsia="en-GB"/>
        </w:rPr>
        <w:t>, Phillip</w:t>
      </w:r>
      <w:r w:rsidR="00ED4950">
        <w:rPr>
          <w:rFonts w:ascii="Times New Roman" w:eastAsia="Times New Roman" w:hAnsi="Times New Roman" w:cs="Times New Roman"/>
          <w:lang w:eastAsia="en-GB"/>
        </w:rPr>
        <w:t>.</w:t>
      </w:r>
      <w:r w:rsidRPr="00532406">
        <w:rPr>
          <w:rFonts w:ascii="Times New Roman" w:eastAsia="Times New Roman" w:hAnsi="Times New Roman" w:cs="Times New Roman"/>
          <w:lang w:eastAsia="en-GB"/>
        </w:rPr>
        <w:t xml:space="preserve"> (ed.) (1998)</w:t>
      </w:r>
      <w:r w:rsidRPr="0004278A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04278A">
        <w:rPr>
          <w:rFonts w:ascii="Times New Roman" w:eastAsia="Times New Roman" w:hAnsi="Times New Roman" w:cs="Times New Roman"/>
          <w:i/>
          <w:iCs/>
          <w:lang w:eastAsia="en-GB"/>
        </w:rPr>
        <w:t>Parliaments and Governments in Western Europe</w:t>
      </w:r>
      <w:r w:rsidRPr="0004278A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532406">
        <w:rPr>
          <w:rFonts w:ascii="Times New Roman" w:eastAsia="Times New Roman" w:hAnsi="Times New Roman" w:cs="Times New Roman"/>
          <w:lang w:eastAsia="en-GB"/>
        </w:rPr>
        <w:t>(</w:t>
      </w:r>
      <w:r w:rsidRPr="0004278A">
        <w:rPr>
          <w:rFonts w:ascii="Times New Roman" w:eastAsia="Times New Roman" w:hAnsi="Times New Roman" w:cs="Times New Roman"/>
          <w:lang w:eastAsia="en-GB"/>
        </w:rPr>
        <w:t>London: Frank Cas</w:t>
      </w:r>
      <w:r w:rsidRPr="00532406">
        <w:rPr>
          <w:rFonts w:ascii="Times New Roman" w:eastAsia="Times New Roman" w:hAnsi="Times New Roman" w:cs="Times New Roman"/>
          <w:lang w:eastAsia="en-GB"/>
        </w:rPr>
        <w:t>s).</w:t>
      </w:r>
    </w:p>
    <w:p w14:paraId="563C43AD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F4C11E1" w14:textId="77777777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eastAsia="Times New Roman" w:hAnsi="Times New Roman" w:cs="Times New Roman"/>
          <w:lang w:eastAsia="en-GB"/>
        </w:rPr>
        <w:t xml:space="preserve">Norton, Phillip. (2017) ‘Speaking for Parliament’, </w:t>
      </w:r>
      <w:r w:rsidRPr="00532406">
        <w:rPr>
          <w:rFonts w:ascii="Times New Roman" w:eastAsia="Times New Roman" w:hAnsi="Times New Roman" w:cs="Times New Roman"/>
          <w:i/>
          <w:iCs/>
          <w:lang w:eastAsia="en-GB"/>
        </w:rPr>
        <w:t>Parliamentary Affairs</w:t>
      </w:r>
      <w:r w:rsidRPr="00532406">
        <w:rPr>
          <w:rFonts w:ascii="Times New Roman" w:eastAsia="Times New Roman" w:hAnsi="Times New Roman" w:cs="Times New Roman"/>
          <w:lang w:eastAsia="en-GB"/>
        </w:rPr>
        <w:t>, 70, pp.191-206.</w:t>
      </w:r>
    </w:p>
    <w:p w14:paraId="387C2EC4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3E5CD932" w14:textId="77777777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eastAsia="Times New Roman" w:hAnsi="Times New Roman" w:cs="Times New Roman"/>
          <w:lang w:eastAsia="en-GB"/>
        </w:rPr>
        <w:t xml:space="preserve">Russell, Meg and </w:t>
      </w:r>
      <w:proofErr w:type="spellStart"/>
      <w:r w:rsidRPr="00532406">
        <w:rPr>
          <w:rFonts w:ascii="Times New Roman" w:eastAsia="Times New Roman" w:hAnsi="Times New Roman" w:cs="Times New Roman"/>
          <w:lang w:eastAsia="en-GB"/>
        </w:rPr>
        <w:t>Gover</w:t>
      </w:r>
      <w:proofErr w:type="spellEnd"/>
      <w:r w:rsidRPr="00532406">
        <w:rPr>
          <w:rFonts w:ascii="Times New Roman" w:eastAsia="Times New Roman" w:hAnsi="Times New Roman" w:cs="Times New Roman"/>
          <w:lang w:eastAsia="en-GB"/>
        </w:rPr>
        <w:t xml:space="preserve">, Daniel. (2017) </w:t>
      </w:r>
      <w:r w:rsidRPr="00532406">
        <w:rPr>
          <w:rFonts w:ascii="Times New Roman" w:eastAsia="Times New Roman" w:hAnsi="Times New Roman" w:cs="Times New Roman"/>
          <w:i/>
          <w:iCs/>
          <w:lang w:eastAsia="en-GB"/>
        </w:rPr>
        <w:t>Legislation at Westminster: Parliamentary Actors and Influence in the Making of British Law</w:t>
      </w:r>
      <w:r w:rsidRPr="00532406">
        <w:rPr>
          <w:rFonts w:ascii="Times New Roman" w:eastAsia="Times New Roman" w:hAnsi="Times New Roman" w:cs="Times New Roman"/>
          <w:lang w:eastAsia="en-GB"/>
        </w:rPr>
        <w:t xml:space="preserve"> (Oxford: Oxford University Press).</w:t>
      </w:r>
    </w:p>
    <w:p w14:paraId="61B3247D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703B0E4E" w14:textId="77777777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hAnsi="Times New Roman" w:cs="Times New Roman"/>
        </w:rPr>
        <w:t xml:space="preserve">Russell, Meg, </w:t>
      </w:r>
      <w:proofErr w:type="spellStart"/>
      <w:r w:rsidRPr="00532406">
        <w:rPr>
          <w:rFonts w:ascii="Times New Roman" w:hAnsi="Times New Roman" w:cs="Times New Roman"/>
        </w:rPr>
        <w:t>Gover</w:t>
      </w:r>
      <w:proofErr w:type="spellEnd"/>
      <w:r w:rsidRPr="00532406">
        <w:rPr>
          <w:rFonts w:ascii="Times New Roman" w:hAnsi="Times New Roman" w:cs="Times New Roman"/>
        </w:rPr>
        <w:t xml:space="preserve">, Daniel and </w:t>
      </w:r>
      <w:proofErr w:type="spellStart"/>
      <w:r w:rsidRPr="00532406">
        <w:rPr>
          <w:rFonts w:ascii="Times New Roman" w:hAnsi="Times New Roman" w:cs="Times New Roman"/>
        </w:rPr>
        <w:t>Wollter</w:t>
      </w:r>
      <w:proofErr w:type="spellEnd"/>
      <w:r w:rsidRPr="00532406">
        <w:rPr>
          <w:rFonts w:ascii="Times New Roman" w:hAnsi="Times New Roman" w:cs="Times New Roman"/>
        </w:rPr>
        <w:t xml:space="preserve">, Kristina. (2016) ‘Does the Executive Dominate the Westminster Legislative Process?: Six Reasons for Doubt’, </w:t>
      </w:r>
      <w:r w:rsidRPr="00532406">
        <w:rPr>
          <w:rFonts w:ascii="Times New Roman" w:hAnsi="Times New Roman" w:cs="Times New Roman"/>
          <w:i/>
          <w:iCs/>
        </w:rPr>
        <w:t>Parliamentary Affairs</w:t>
      </w:r>
      <w:r w:rsidRPr="00532406">
        <w:rPr>
          <w:rFonts w:ascii="Times New Roman" w:hAnsi="Times New Roman" w:cs="Times New Roman"/>
        </w:rPr>
        <w:t>, 69, pp.286-308</w:t>
      </w:r>
      <w:r w:rsidR="00B80BB5" w:rsidRPr="00532406">
        <w:rPr>
          <w:rFonts w:ascii="Times New Roman" w:hAnsi="Times New Roman" w:cs="Times New Roman"/>
        </w:rPr>
        <w:t>.</w:t>
      </w:r>
    </w:p>
    <w:p w14:paraId="44470C67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24BDB08F" w14:textId="77777777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hAnsi="Times New Roman" w:cs="Times New Roman"/>
        </w:rPr>
        <w:t xml:space="preserve">Sarwar, Anas. </w:t>
      </w:r>
      <w:r w:rsidRPr="00532406">
        <w:rPr>
          <w:rFonts w:ascii="Times New Roman" w:hAnsi="Times New Roman" w:cs="Times New Roman"/>
          <w:i/>
          <w:iCs/>
        </w:rPr>
        <w:t xml:space="preserve">Oral questions with Anas Sarwar MSP (Leader of the Scottish Labour Party) in Spring 2022. </w:t>
      </w:r>
      <w:r w:rsidRPr="00532406">
        <w:rPr>
          <w:rFonts w:ascii="Times New Roman" w:hAnsi="Times New Roman" w:cs="Times New Roman"/>
        </w:rPr>
        <w:t xml:space="preserve">Available at: </w:t>
      </w:r>
      <w:hyperlink r:id="rId14" w:history="1">
        <w:r w:rsidRPr="00532406">
          <w:rPr>
            <w:rStyle w:val="Hyperlink"/>
            <w:rFonts w:ascii="Times New Roman" w:hAnsi="Times New Roman" w:cs="Times New Roman"/>
          </w:rPr>
          <w:t>https://ed-ac-uk.zoom.us/rec/share/Ecw5oa8KczVMozXc0MssVKl51Dy2FrBgO7meCKL2xDyUCBww3zKPlohIBAFHLab1.aSMLkX3HPnTI-x80?startTime=1647975954000</w:t>
        </w:r>
      </w:hyperlink>
      <w:r w:rsidRPr="00532406">
        <w:rPr>
          <w:rFonts w:ascii="Times New Roman" w:hAnsi="Times New Roman" w:cs="Times New Roman"/>
        </w:rPr>
        <w:t xml:space="preserve"> </w:t>
      </w:r>
    </w:p>
    <w:p w14:paraId="3E141411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</w:rPr>
      </w:pPr>
    </w:p>
    <w:p w14:paraId="0211DE92" w14:textId="143E3AB8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532406">
        <w:rPr>
          <w:rFonts w:ascii="Times New Roman" w:hAnsi="Times New Roman" w:cs="Times New Roman"/>
        </w:rPr>
        <w:t xml:space="preserve">Scottish Elections (Franchise and Representation) Act 2020. Available at: </w:t>
      </w:r>
      <w:hyperlink r:id="rId15" w:history="1">
        <w:r w:rsidRPr="00532406">
          <w:rPr>
            <w:rStyle w:val="Hyperlink"/>
            <w:rFonts w:ascii="Times New Roman" w:hAnsi="Times New Roman" w:cs="Times New Roman"/>
          </w:rPr>
          <w:t>https://www.legislation.gov.uk/asp/2020/6/contents/enacted</w:t>
        </w:r>
      </w:hyperlink>
      <w:r w:rsidRPr="00532406">
        <w:rPr>
          <w:rFonts w:ascii="Times New Roman" w:hAnsi="Times New Roman" w:cs="Times New Roman"/>
        </w:rPr>
        <w:t xml:space="preserve"> [Accessed 26 </w:t>
      </w:r>
      <w:r w:rsidR="00D72C7E">
        <w:rPr>
          <w:rFonts w:ascii="Times New Roman" w:hAnsi="Times New Roman" w:cs="Times New Roman"/>
        </w:rPr>
        <w:t>March</w:t>
      </w:r>
      <w:r w:rsidRPr="00532406">
        <w:rPr>
          <w:rFonts w:ascii="Times New Roman" w:hAnsi="Times New Roman" w:cs="Times New Roman"/>
        </w:rPr>
        <w:t xml:space="preserve"> 2022].</w:t>
      </w:r>
    </w:p>
    <w:p w14:paraId="0B00325B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</w:rPr>
      </w:pPr>
    </w:p>
    <w:p w14:paraId="30443511" w14:textId="335CE7D4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hAnsi="Times New Roman" w:cs="Times New Roman"/>
        </w:rPr>
        <w:lastRenderedPageBreak/>
        <w:t>Scottish Parliament</w:t>
      </w:r>
      <w:r w:rsidR="00555320">
        <w:rPr>
          <w:rFonts w:ascii="Times New Roman" w:hAnsi="Times New Roman" w:cs="Times New Roman"/>
        </w:rPr>
        <w:t xml:space="preserve"> (SP)</w:t>
      </w:r>
      <w:r w:rsidRPr="00532406">
        <w:rPr>
          <w:rFonts w:ascii="Times New Roman" w:hAnsi="Times New Roman" w:cs="Times New Roman"/>
        </w:rPr>
        <w:t xml:space="preserve">. (2019) </w:t>
      </w:r>
      <w:r w:rsidRPr="00532406">
        <w:rPr>
          <w:rFonts w:ascii="Times New Roman" w:hAnsi="Times New Roman" w:cs="Times New Roman"/>
          <w:i/>
          <w:iCs/>
        </w:rPr>
        <w:t>Stage 1 Report on the Scottish Elections (</w:t>
      </w:r>
      <w:r w:rsidR="00D72C7E" w:rsidRPr="00532406">
        <w:rPr>
          <w:rFonts w:ascii="Times New Roman" w:hAnsi="Times New Roman" w:cs="Times New Roman"/>
          <w:i/>
          <w:iCs/>
        </w:rPr>
        <w:t>Franchise</w:t>
      </w:r>
      <w:r w:rsidRPr="00532406">
        <w:rPr>
          <w:rFonts w:ascii="Times New Roman" w:hAnsi="Times New Roman" w:cs="Times New Roman"/>
          <w:i/>
          <w:iCs/>
        </w:rPr>
        <w:t xml:space="preserve"> and Representations) Bill</w:t>
      </w:r>
      <w:r w:rsidRPr="00532406">
        <w:rPr>
          <w:rFonts w:ascii="Times New Roman" w:hAnsi="Times New Roman" w:cs="Times New Roman"/>
        </w:rPr>
        <w:t xml:space="preserve">. Available at:  </w:t>
      </w:r>
      <w:hyperlink r:id="rId16" w:history="1">
        <w:r w:rsidRPr="00532406">
          <w:rPr>
            <w:rStyle w:val="Hyperlink"/>
            <w:rFonts w:ascii="Times New Roman" w:hAnsi="Times New Roman" w:cs="Times New Roman"/>
          </w:rPr>
          <w:t>https://sp-bpr-en-prod-cdnep.azureedge.net/published/SPPA/2019/11/13/Stage-1-Report-on-the-Scottish-Elections--Franchise-and-Representations--Bill-1/SPPAS052019R14.pdf</w:t>
        </w:r>
      </w:hyperlink>
      <w:r w:rsidRPr="00532406">
        <w:rPr>
          <w:rFonts w:ascii="Times New Roman" w:hAnsi="Times New Roman" w:cs="Times New Roman"/>
        </w:rPr>
        <w:t xml:space="preserve"> </w:t>
      </w:r>
      <w:r w:rsidR="00D72C7E">
        <w:rPr>
          <w:rFonts w:ascii="Times New Roman" w:hAnsi="Times New Roman" w:cs="Times New Roman"/>
        </w:rPr>
        <w:t>[Accessed: 27 March 2022]</w:t>
      </w:r>
    </w:p>
    <w:p w14:paraId="01533A57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1897C130" w14:textId="02E062F4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hAnsi="Times New Roman" w:cs="Times New Roman"/>
        </w:rPr>
        <w:t>Scottish Parliament</w:t>
      </w:r>
      <w:r w:rsidR="00555320">
        <w:rPr>
          <w:rFonts w:ascii="Times New Roman" w:hAnsi="Times New Roman" w:cs="Times New Roman"/>
        </w:rPr>
        <w:t xml:space="preserve"> (SP)</w:t>
      </w:r>
      <w:r w:rsidRPr="00532406">
        <w:rPr>
          <w:rFonts w:ascii="Times New Roman" w:hAnsi="Times New Roman" w:cs="Times New Roman"/>
        </w:rPr>
        <w:t xml:space="preserve">. (2020) </w:t>
      </w:r>
      <w:r w:rsidRPr="00532406">
        <w:rPr>
          <w:rFonts w:ascii="Times New Roman" w:hAnsi="Times New Roman" w:cs="Times New Roman"/>
          <w:i/>
          <w:iCs/>
        </w:rPr>
        <w:t>First meeting on amendments transcript</w:t>
      </w:r>
      <w:r w:rsidRPr="00532406">
        <w:rPr>
          <w:rFonts w:ascii="Times New Roman" w:hAnsi="Times New Roman" w:cs="Times New Roman"/>
        </w:rPr>
        <w:t xml:space="preserve">. Available at: </w:t>
      </w:r>
      <w:hyperlink r:id="rId17" w:history="1">
        <w:r w:rsidRPr="00532406">
          <w:rPr>
            <w:rStyle w:val="Hyperlink"/>
            <w:rFonts w:ascii="Times New Roman" w:hAnsi="Times New Roman" w:cs="Times New Roman"/>
          </w:rPr>
          <w:t>https://www.parliament.scot/bills-and-laws/bills/scottish-elections-franchise-and-representation-bill</w:t>
        </w:r>
      </w:hyperlink>
      <w:r w:rsidRPr="00532406">
        <w:rPr>
          <w:rFonts w:ascii="Times New Roman" w:hAnsi="Times New Roman" w:cs="Times New Roman"/>
        </w:rPr>
        <w:t xml:space="preserve"> </w:t>
      </w:r>
      <w:r w:rsidR="00D72C7E">
        <w:rPr>
          <w:rFonts w:ascii="Times New Roman" w:hAnsi="Times New Roman" w:cs="Times New Roman"/>
        </w:rPr>
        <w:t>[Accessed: 27 March 2022]</w:t>
      </w:r>
    </w:p>
    <w:p w14:paraId="3CE81F8D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</w:rPr>
      </w:pPr>
    </w:p>
    <w:p w14:paraId="29C6DC1C" w14:textId="046B08F5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hAnsi="Times New Roman" w:cs="Times New Roman"/>
        </w:rPr>
        <w:t>Scottish Parliamentary Corporate Body</w:t>
      </w:r>
      <w:r w:rsidR="00555320">
        <w:rPr>
          <w:rFonts w:ascii="Times New Roman" w:hAnsi="Times New Roman" w:cs="Times New Roman"/>
        </w:rPr>
        <w:t xml:space="preserve"> (SPCB)</w:t>
      </w:r>
      <w:r w:rsidRPr="00532406">
        <w:rPr>
          <w:rFonts w:ascii="Times New Roman" w:hAnsi="Times New Roman" w:cs="Times New Roman"/>
        </w:rPr>
        <w:t xml:space="preserve">. (2020) </w:t>
      </w:r>
      <w:r w:rsidRPr="0090032B">
        <w:rPr>
          <w:rFonts w:ascii="Times New Roman" w:eastAsia="Times New Roman" w:hAnsi="Times New Roman" w:cs="Times New Roman"/>
          <w:i/>
          <w:iCs/>
          <w:lang w:eastAsia="en-GB"/>
        </w:rPr>
        <w:t>Scottish Elections (Franchise and Representation) Bill</w:t>
      </w:r>
      <w:r w:rsidRPr="00532406">
        <w:rPr>
          <w:rFonts w:ascii="Times New Roman" w:eastAsia="Times New Roman" w:hAnsi="Times New Roman" w:cs="Times New Roman"/>
          <w:i/>
          <w:iCs/>
          <w:lang w:eastAsia="en-GB"/>
        </w:rPr>
        <w:t xml:space="preserve">: </w:t>
      </w:r>
      <w:r w:rsidRPr="0090032B">
        <w:rPr>
          <w:rFonts w:ascii="Times New Roman" w:eastAsia="Times New Roman" w:hAnsi="Times New Roman" w:cs="Times New Roman"/>
          <w:i/>
          <w:iCs/>
          <w:lang w:eastAsia="en-GB"/>
        </w:rPr>
        <w:t>Groupings of Amendments for Stage 2</w:t>
      </w:r>
      <w:r w:rsidRPr="00532406">
        <w:rPr>
          <w:rFonts w:ascii="Times New Roman" w:eastAsia="Times New Roman" w:hAnsi="Times New Roman" w:cs="Times New Roman"/>
          <w:lang w:eastAsia="en-GB"/>
        </w:rPr>
        <w:t xml:space="preserve">. Available at: </w:t>
      </w:r>
      <w:hyperlink r:id="rId18" w:history="1">
        <w:r w:rsidRPr="00532406">
          <w:rPr>
            <w:rStyle w:val="Hyperlink"/>
            <w:rFonts w:ascii="Times New Roman" w:eastAsia="Times New Roman" w:hAnsi="Times New Roman" w:cs="Times New Roman"/>
            <w:lang w:eastAsia="en-GB"/>
          </w:rPr>
          <w:t>https://www.parlamaid-alba.scot/-/media/files/legislation/bills/current-bills/scottish-elections-franchise-and-representation-scotland-bill/stage-2/revised-groupings-of-amendments-scottish-elections-franchise-and-representation-bill.pdf</w:t>
        </w:r>
      </w:hyperlink>
      <w:r w:rsidRPr="00532406">
        <w:rPr>
          <w:rFonts w:ascii="Times New Roman" w:eastAsia="Times New Roman" w:hAnsi="Times New Roman" w:cs="Times New Roman"/>
          <w:lang w:eastAsia="en-GB"/>
        </w:rPr>
        <w:t xml:space="preserve"> </w:t>
      </w:r>
      <w:r w:rsidR="00D72C7E">
        <w:rPr>
          <w:rFonts w:ascii="Times New Roman" w:eastAsia="Times New Roman" w:hAnsi="Times New Roman" w:cs="Times New Roman"/>
          <w:lang w:eastAsia="en-GB"/>
        </w:rPr>
        <w:t>[Accessed: 16 March 2022]</w:t>
      </w:r>
    </w:p>
    <w:p w14:paraId="346B1841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349B0069" w14:textId="77777777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hAnsi="Times New Roman" w:cs="Times New Roman"/>
        </w:rPr>
        <w:t xml:space="preserve">Shephard, Mark and Cairney, Paul. (2005) ‘The Impact of the Scottish Parliament in Amending Executive Legislation’, </w:t>
      </w:r>
      <w:r w:rsidRPr="00532406">
        <w:rPr>
          <w:rFonts w:ascii="Times New Roman" w:hAnsi="Times New Roman" w:cs="Times New Roman"/>
          <w:i/>
          <w:iCs/>
        </w:rPr>
        <w:t>Political Studies</w:t>
      </w:r>
      <w:r w:rsidRPr="00532406">
        <w:rPr>
          <w:rFonts w:ascii="Times New Roman" w:hAnsi="Times New Roman" w:cs="Times New Roman"/>
        </w:rPr>
        <w:t>, 53, pp.303-319.</w:t>
      </w:r>
    </w:p>
    <w:p w14:paraId="6DB9697C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4C64CB87" w14:textId="77777777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hAnsi="Times New Roman" w:cs="Times New Roman"/>
        </w:rPr>
        <w:t xml:space="preserve">Speaker (A). </w:t>
      </w:r>
      <w:r w:rsidRPr="00532406">
        <w:rPr>
          <w:rFonts w:ascii="Times New Roman" w:hAnsi="Times New Roman" w:cs="Times New Roman"/>
          <w:i/>
          <w:iCs/>
        </w:rPr>
        <w:t>Oral questions with Speaker (A) (Deputy Principal Clerk in House of Commons) for Parliamentary Studies at University of Edinburgh in Spring 2022</w:t>
      </w:r>
      <w:r w:rsidRPr="00532406">
        <w:rPr>
          <w:rFonts w:ascii="Times New Roman" w:hAnsi="Times New Roman" w:cs="Times New Roman"/>
        </w:rPr>
        <w:t xml:space="preserve">. </w:t>
      </w:r>
    </w:p>
    <w:p w14:paraId="385000BB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D0070DF" w14:textId="0AF5EF58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hAnsi="Times New Roman" w:cs="Times New Roman"/>
        </w:rPr>
        <w:t xml:space="preserve">Speaker (B). </w:t>
      </w:r>
      <w:r w:rsidRPr="00532406">
        <w:rPr>
          <w:rFonts w:ascii="Times New Roman" w:hAnsi="Times New Roman" w:cs="Times New Roman"/>
          <w:i/>
          <w:iCs/>
        </w:rPr>
        <w:t>Oral questions with Speaker (B) (Senior Cler</w:t>
      </w:r>
      <w:r w:rsidR="003E74BE">
        <w:rPr>
          <w:rFonts w:ascii="Times New Roman" w:hAnsi="Times New Roman" w:cs="Times New Roman"/>
          <w:i/>
          <w:iCs/>
        </w:rPr>
        <w:t>k</w:t>
      </w:r>
      <w:r w:rsidRPr="00532406">
        <w:rPr>
          <w:rFonts w:ascii="Times New Roman" w:hAnsi="Times New Roman" w:cs="Times New Roman"/>
          <w:i/>
          <w:iCs/>
        </w:rPr>
        <w:t xml:space="preserve"> in House of Commons) for Parliamentary Studies at University of Edinburgh in Spring 2022</w:t>
      </w:r>
      <w:r w:rsidRPr="00532406">
        <w:rPr>
          <w:rFonts w:ascii="Times New Roman" w:hAnsi="Times New Roman" w:cs="Times New Roman"/>
        </w:rPr>
        <w:t xml:space="preserve">. </w:t>
      </w:r>
    </w:p>
    <w:p w14:paraId="6C61F750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7C33BC53" w14:textId="77777777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hAnsi="Times New Roman" w:cs="Times New Roman"/>
        </w:rPr>
        <w:t xml:space="preserve">Speaker (C). </w:t>
      </w:r>
      <w:r w:rsidRPr="00532406">
        <w:rPr>
          <w:rFonts w:ascii="Times New Roman" w:hAnsi="Times New Roman" w:cs="Times New Roman"/>
          <w:i/>
          <w:iCs/>
        </w:rPr>
        <w:t>Oral questions with Speaker (C) (Clerk in Non-Government Bills Unit, Chamber Office of Scottish Parliament) for Parliamentary Studies at University of Edinburgh in Spring 2022</w:t>
      </w:r>
      <w:r w:rsidRPr="00532406">
        <w:rPr>
          <w:rFonts w:ascii="Times New Roman" w:hAnsi="Times New Roman" w:cs="Times New Roman"/>
        </w:rPr>
        <w:t xml:space="preserve">. </w:t>
      </w:r>
    </w:p>
    <w:p w14:paraId="33041096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59C85F2D" w14:textId="77777777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hAnsi="Times New Roman" w:cs="Times New Roman"/>
        </w:rPr>
        <w:t xml:space="preserve">Thompson, Louise. (2013) ‘More of the Same or a Period of Change? The Impact of Bill Committees in the Twenty-First Century House of Commons’, </w:t>
      </w:r>
      <w:r w:rsidRPr="00532406">
        <w:rPr>
          <w:rFonts w:ascii="Times New Roman" w:hAnsi="Times New Roman" w:cs="Times New Roman"/>
          <w:i/>
          <w:iCs/>
        </w:rPr>
        <w:t>Parliamentary Affairs</w:t>
      </w:r>
      <w:r w:rsidRPr="00532406">
        <w:rPr>
          <w:rFonts w:ascii="Times New Roman" w:hAnsi="Times New Roman" w:cs="Times New Roman"/>
        </w:rPr>
        <w:t>, 66, pp.459-479.</w:t>
      </w:r>
    </w:p>
    <w:p w14:paraId="27A50D32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DB2C8EA" w14:textId="77777777" w:rsidR="00532406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hAnsi="Times New Roman" w:cs="Times New Roman"/>
        </w:rPr>
        <w:t xml:space="preserve">Thompson, Louise. (2015) </w:t>
      </w:r>
      <w:r w:rsidRPr="00532406">
        <w:rPr>
          <w:rFonts w:ascii="Times New Roman" w:hAnsi="Times New Roman" w:cs="Times New Roman"/>
          <w:i/>
          <w:iCs/>
        </w:rPr>
        <w:t xml:space="preserve">Making British Law </w:t>
      </w:r>
      <w:r w:rsidRPr="00532406">
        <w:rPr>
          <w:rFonts w:ascii="Times New Roman" w:hAnsi="Times New Roman" w:cs="Times New Roman"/>
        </w:rPr>
        <w:t>(Basingstoke: Palgrave Macmillan).</w:t>
      </w:r>
    </w:p>
    <w:p w14:paraId="089BAE1A" w14:textId="77777777" w:rsidR="00532406" w:rsidRPr="00532406" w:rsidRDefault="00532406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20B842AA" w14:textId="1ED265E4" w:rsidR="00AA41F8" w:rsidRPr="00532406" w:rsidRDefault="00AA41F8" w:rsidP="00532406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32406">
        <w:rPr>
          <w:rFonts w:ascii="Times New Roman" w:eastAsia="Times New Roman" w:hAnsi="Times New Roman" w:cs="Times New Roman"/>
          <w:lang w:eastAsia="en-GB"/>
        </w:rPr>
        <w:t xml:space="preserve">Thompson, Louise. (2016) ‘Debunking the Myths of Bill Committees in the British House of Commons’, </w:t>
      </w:r>
      <w:r w:rsidRPr="00532406">
        <w:rPr>
          <w:rFonts w:ascii="Times New Roman" w:eastAsia="Times New Roman" w:hAnsi="Times New Roman" w:cs="Times New Roman"/>
          <w:i/>
          <w:iCs/>
          <w:lang w:eastAsia="en-GB"/>
        </w:rPr>
        <w:t>Politics</w:t>
      </w:r>
      <w:r w:rsidRPr="00532406">
        <w:rPr>
          <w:rFonts w:ascii="Times New Roman" w:eastAsia="Times New Roman" w:hAnsi="Times New Roman" w:cs="Times New Roman"/>
          <w:lang w:eastAsia="en-GB"/>
        </w:rPr>
        <w:t>, 36(1), pp.36-48.</w:t>
      </w:r>
    </w:p>
    <w:p w14:paraId="5EFD5CB2" w14:textId="77777777" w:rsidR="0031314C" w:rsidRPr="00EB2210" w:rsidRDefault="0031314C" w:rsidP="00EB2210">
      <w:pPr>
        <w:spacing w:line="480" w:lineRule="auto"/>
        <w:rPr>
          <w:rFonts w:ascii="Times New Roman" w:hAnsi="Times New Roman" w:cs="Times New Roman"/>
          <w:b/>
          <w:bCs/>
        </w:rPr>
      </w:pPr>
    </w:p>
    <w:sectPr w:rsidR="0031314C" w:rsidRPr="00EB2210">
      <w:headerReference w:type="default" r:id="rId19"/>
      <w:footerReference w:type="even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5634" w14:textId="77777777" w:rsidR="001D490B" w:rsidRDefault="001D490B" w:rsidP="00D22A02">
      <w:r>
        <w:separator/>
      </w:r>
    </w:p>
  </w:endnote>
  <w:endnote w:type="continuationSeparator" w:id="0">
    <w:p w14:paraId="0D25D59E" w14:textId="77777777" w:rsidR="001D490B" w:rsidRDefault="001D490B" w:rsidP="00D2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0884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1460FC" w14:textId="7894E628" w:rsidR="00D22A02" w:rsidRDefault="00D22A02" w:rsidP="005A476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8518C6" w14:textId="77777777" w:rsidR="00D22A02" w:rsidRDefault="00D22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8119109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4F2398" w14:textId="5FFC02CA" w:rsidR="00D22A02" w:rsidRPr="00D22A02" w:rsidRDefault="00D22A02" w:rsidP="005A476C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D22A02">
          <w:rPr>
            <w:rStyle w:val="PageNumber"/>
            <w:rFonts w:ascii="Times New Roman" w:hAnsi="Times New Roman" w:cs="Times New Roman"/>
          </w:rPr>
          <w:fldChar w:fldCharType="begin"/>
        </w:r>
        <w:r w:rsidRPr="00D22A0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D22A02">
          <w:rPr>
            <w:rStyle w:val="PageNumber"/>
            <w:rFonts w:ascii="Times New Roman" w:hAnsi="Times New Roman" w:cs="Times New Roman"/>
          </w:rPr>
          <w:fldChar w:fldCharType="separate"/>
        </w:r>
        <w:r w:rsidRPr="00D22A02">
          <w:rPr>
            <w:rStyle w:val="PageNumber"/>
            <w:rFonts w:ascii="Times New Roman" w:hAnsi="Times New Roman" w:cs="Times New Roman"/>
            <w:noProof/>
          </w:rPr>
          <w:t>1</w:t>
        </w:r>
        <w:r w:rsidRPr="00D22A0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37CBC43" w14:textId="77777777" w:rsidR="00D22A02" w:rsidRDefault="00D22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1F3A" w14:textId="77777777" w:rsidR="001D490B" w:rsidRDefault="001D490B" w:rsidP="00D22A02">
      <w:r>
        <w:separator/>
      </w:r>
    </w:p>
  </w:footnote>
  <w:footnote w:type="continuationSeparator" w:id="0">
    <w:p w14:paraId="7A0F2D09" w14:textId="77777777" w:rsidR="001D490B" w:rsidRDefault="001D490B" w:rsidP="00D22A02">
      <w:r>
        <w:continuationSeparator/>
      </w:r>
    </w:p>
  </w:footnote>
  <w:footnote w:id="1">
    <w:p w14:paraId="34B378D8" w14:textId="5F44C8C6" w:rsidR="00C30DF0" w:rsidRDefault="00C30D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Ethics consent approved for all original 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4EAC" w14:textId="2C7765C2" w:rsidR="00D22A02" w:rsidRPr="00D22A02" w:rsidRDefault="00D22A02">
    <w:pPr>
      <w:pStyle w:val="Header"/>
      <w:rPr>
        <w:rFonts w:ascii="Times New Roman" w:hAnsi="Times New Roman" w:cs="Times New Roman"/>
      </w:rPr>
    </w:pPr>
    <w:r w:rsidRPr="00D22A02">
      <w:rPr>
        <w:rFonts w:ascii="Times New Roman" w:hAnsi="Times New Roman" w:cs="Times New Roman"/>
      </w:rPr>
      <w:t>B129574</w:t>
    </w:r>
    <w:r w:rsidR="00BB3C82">
      <w:rPr>
        <w:rFonts w:ascii="Times New Roman" w:hAnsi="Times New Roman" w:cs="Times New Roman"/>
      </w:rPr>
      <w:tab/>
    </w:r>
    <w:r w:rsidR="00BB3C82">
      <w:rPr>
        <w:rFonts w:ascii="Times New Roman" w:hAnsi="Times New Roman" w:cs="Times New Roman"/>
      </w:rPr>
      <w:tab/>
      <w:t xml:space="preserve">Word count: </w:t>
    </w:r>
    <w:r w:rsidR="007A5D5A">
      <w:rPr>
        <w:rFonts w:ascii="Times New Roman" w:hAnsi="Times New Roman" w:cs="Times New Roman"/>
      </w:rPr>
      <w:t>3000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A53"/>
    <w:multiLevelType w:val="hybridMultilevel"/>
    <w:tmpl w:val="80C21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5680"/>
    <w:multiLevelType w:val="hybridMultilevel"/>
    <w:tmpl w:val="5B5C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07BD"/>
    <w:multiLevelType w:val="hybridMultilevel"/>
    <w:tmpl w:val="398C0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44DE"/>
    <w:multiLevelType w:val="hybridMultilevel"/>
    <w:tmpl w:val="59A0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431BB"/>
    <w:multiLevelType w:val="hybridMultilevel"/>
    <w:tmpl w:val="032E3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3174F"/>
    <w:multiLevelType w:val="hybridMultilevel"/>
    <w:tmpl w:val="DFF0A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B5BB9"/>
    <w:multiLevelType w:val="hybridMultilevel"/>
    <w:tmpl w:val="5658D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B2B9A"/>
    <w:multiLevelType w:val="hybridMultilevel"/>
    <w:tmpl w:val="E2FA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55E7"/>
    <w:multiLevelType w:val="hybridMultilevel"/>
    <w:tmpl w:val="7B82C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75E50"/>
    <w:multiLevelType w:val="hybridMultilevel"/>
    <w:tmpl w:val="CA34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C2856"/>
    <w:multiLevelType w:val="hybridMultilevel"/>
    <w:tmpl w:val="5244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A5899"/>
    <w:multiLevelType w:val="hybridMultilevel"/>
    <w:tmpl w:val="6A604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B2F1E"/>
    <w:multiLevelType w:val="multilevel"/>
    <w:tmpl w:val="A748EB4C"/>
    <w:lvl w:ilvl="0">
      <w:start w:val="96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3" w15:restartNumberingAfterBreak="0">
    <w:nsid w:val="1D7B1FAA"/>
    <w:multiLevelType w:val="hybridMultilevel"/>
    <w:tmpl w:val="E21A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27D1F"/>
    <w:multiLevelType w:val="hybridMultilevel"/>
    <w:tmpl w:val="ABCA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47CCE"/>
    <w:multiLevelType w:val="hybridMultilevel"/>
    <w:tmpl w:val="A2DA1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140C8"/>
    <w:multiLevelType w:val="hybridMultilevel"/>
    <w:tmpl w:val="17D8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F2B8A"/>
    <w:multiLevelType w:val="hybridMultilevel"/>
    <w:tmpl w:val="34DC6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237D1"/>
    <w:multiLevelType w:val="hybridMultilevel"/>
    <w:tmpl w:val="1EA27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F34D5"/>
    <w:multiLevelType w:val="hybridMultilevel"/>
    <w:tmpl w:val="403CC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10863"/>
    <w:multiLevelType w:val="hybridMultilevel"/>
    <w:tmpl w:val="4D645600"/>
    <w:lvl w:ilvl="0" w:tplc="74B0157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33FAF"/>
    <w:multiLevelType w:val="hybridMultilevel"/>
    <w:tmpl w:val="DF881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02819"/>
    <w:multiLevelType w:val="hybridMultilevel"/>
    <w:tmpl w:val="1BB08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87043"/>
    <w:multiLevelType w:val="hybridMultilevel"/>
    <w:tmpl w:val="0CD22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C3C20"/>
    <w:multiLevelType w:val="hybridMultilevel"/>
    <w:tmpl w:val="BA70053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4CA5212C"/>
    <w:multiLevelType w:val="hybridMultilevel"/>
    <w:tmpl w:val="7B2A9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6016A"/>
    <w:multiLevelType w:val="hybridMultilevel"/>
    <w:tmpl w:val="C890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921F4"/>
    <w:multiLevelType w:val="hybridMultilevel"/>
    <w:tmpl w:val="704EE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E28C7"/>
    <w:multiLevelType w:val="hybridMultilevel"/>
    <w:tmpl w:val="26BA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90C2B"/>
    <w:multiLevelType w:val="hybridMultilevel"/>
    <w:tmpl w:val="067C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64934"/>
    <w:multiLevelType w:val="hybridMultilevel"/>
    <w:tmpl w:val="5A609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F58AC"/>
    <w:multiLevelType w:val="hybridMultilevel"/>
    <w:tmpl w:val="F230C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17E54"/>
    <w:multiLevelType w:val="hybridMultilevel"/>
    <w:tmpl w:val="41A4A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72636">
    <w:abstractNumId w:val="30"/>
  </w:num>
  <w:num w:numId="2" w16cid:durableId="1309433085">
    <w:abstractNumId w:val="29"/>
  </w:num>
  <w:num w:numId="3" w16cid:durableId="834565691">
    <w:abstractNumId w:val="28"/>
  </w:num>
  <w:num w:numId="4" w16cid:durableId="1707677441">
    <w:abstractNumId w:val="4"/>
  </w:num>
  <w:num w:numId="5" w16cid:durableId="934871648">
    <w:abstractNumId w:val="5"/>
  </w:num>
  <w:num w:numId="6" w16cid:durableId="983698655">
    <w:abstractNumId w:val="20"/>
  </w:num>
  <w:num w:numId="7" w16cid:durableId="1064647151">
    <w:abstractNumId w:val="11"/>
  </w:num>
  <w:num w:numId="8" w16cid:durableId="1935168821">
    <w:abstractNumId w:val="23"/>
  </w:num>
  <w:num w:numId="9" w16cid:durableId="1167860916">
    <w:abstractNumId w:val="21"/>
  </w:num>
  <w:num w:numId="10" w16cid:durableId="2112966906">
    <w:abstractNumId w:val="17"/>
  </w:num>
  <w:num w:numId="11" w16cid:durableId="81069850">
    <w:abstractNumId w:val="19"/>
  </w:num>
  <w:num w:numId="12" w16cid:durableId="249319582">
    <w:abstractNumId w:val="25"/>
  </w:num>
  <w:num w:numId="13" w16cid:durableId="349839882">
    <w:abstractNumId w:val="31"/>
  </w:num>
  <w:num w:numId="14" w16cid:durableId="1742024370">
    <w:abstractNumId w:val="16"/>
  </w:num>
  <w:num w:numId="15" w16cid:durableId="1103571670">
    <w:abstractNumId w:val="9"/>
  </w:num>
  <w:num w:numId="16" w16cid:durableId="1439370487">
    <w:abstractNumId w:val="1"/>
  </w:num>
  <w:num w:numId="17" w16cid:durableId="100228697">
    <w:abstractNumId w:val="24"/>
  </w:num>
  <w:num w:numId="18" w16cid:durableId="838807331">
    <w:abstractNumId w:val="8"/>
  </w:num>
  <w:num w:numId="19" w16cid:durableId="247547738">
    <w:abstractNumId w:val="7"/>
  </w:num>
  <w:num w:numId="20" w16cid:durableId="460077898">
    <w:abstractNumId w:val="26"/>
  </w:num>
  <w:num w:numId="21" w16cid:durableId="74785131">
    <w:abstractNumId w:val="18"/>
  </w:num>
  <w:num w:numId="22" w16cid:durableId="994070936">
    <w:abstractNumId w:val="15"/>
  </w:num>
  <w:num w:numId="23" w16cid:durableId="1496871150">
    <w:abstractNumId w:val="14"/>
  </w:num>
  <w:num w:numId="24" w16cid:durableId="791554461">
    <w:abstractNumId w:val="12"/>
  </w:num>
  <w:num w:numId="25" w16cid:durableId="243078770">
    <w:abstractNumId w:val="10"/>
  </w:num>
  <w:num w:numId="26" w16cid:durableId="2005546002">
    <w:abstractNumId w:val="6"/>
  </w:num>
  <w:num w:numId="27" w16cid:durableId="1641769649">
    <w:abstractNumId w:val="0"/>
  </w:num>
  <w:num w:numId="28" w16cid:durableId="1902398238">
    <w:abstractNumId w:val="27"/>
  </w:num>
  <w:num w:numId="29" w16cid:durableId="1329551995">
    <w:abstractNumId w:val="13"/>
  </w:num>
  <w:num w:numId="30" w16cid:durableId="1829907578">
    <w:abstractNumId w:val="2"/>
  </w:num>
  <w:num w:numId="31" w16cid:durableId="1826972231">
    <w:abstractNumId w:val="32"/>
  </w:num>
  <w:num w:numId="32" w16cid:durableId="1722052095">
    <w:abstractNumId w:val="3"/>
  </w:num>
  <w:num w:numId="33" w16cid:durableId="2067277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2A"/>
    <w:rsid w:val="0000591D"/>
    <w:rsid w:val="00005D0D"/>
    <w:rsid w:val="00010629"/>
    <w:rsid w:val="0001501B"/>
    <w:rsid w:val="000236AE"/>
    <w:rsid w:val="00026359"/>
    <w:rsid w:val="00027C7B"/>
    <w:rsid w:val="00031898"/>
    <w:rsid w:val="00031EFD"/>
    <w:rsid w:val="000320C5"/>
    <w:rsid w:val="00034257"/>
    <w:rsid w:val="000357B3"/>
    <w:rsid w:val="00037A17"/>
    <w:rsid w:val="0004278A"/>
    <w:rsid w:val="00042CD5"/>
    <w:rsid w:val="00044137"/>
    <w:rsid w:val="00044C9C"/>
    <w:rsid w:val="0004711F"/>
    <w:rsid w:val="00050A08"/>
    <w:rsid w:val="00056385"/>
    <w:rsid w:val="00057386"/>
    <w:rsid w:val="0006018D"/>
    <w:rsid w:val="000614DC"/>
    <w:rsid w:val="000616C6"/>
    <w:rsid w:val="00064127"/>
    <w:rsid w:val="00065542"/>
    <w:rsid w:val="0006614C"/>
    <w:rsid w:val="00070099"/>
    <w:rsid w:val="00073923"/>
    <w:rsid w:val="000756AF"/>
    <w:rsid w:val="000821A8"/>
    <w:rsid w:val="0008240B"/>
    <w:rsid w:val="000846D6"/>
    <w:rsid w:val="00084995"/>
    <w:rsid w:val="00085A64"/>
    <w:rsid w:val="00086792"/>
    <w:rsid w:val="000874BB"/>
    <w:rsid w:val="00087E4E"/>
    <w:rsid w:val="00090759"/>
    <w:rsid w:val="00092183"/>
    <w:rsid w:val="000934F3"/>
    <w:rsid w:val="000947FA"/>
    <w:rsid w:val="00097900"/>
    <w:rsid w:val="000A5840"/>
    <w:rsid w:val="000A6510"/>
    <w:rsid w:val="000A70C3"/>
    <w:rsid w:val="000A749F"/>
    <w:rsid w:val="000B0500"/>
    <w:rsid w:val="000B20D8"/>
    <w:rsid w:val="000B33F3"/>
    <w:rsid w:val="000B5024"/>
    <w:rsid w:val="000B548D"/>
    <w:rsid w:val="000B756A"/>
    <w:rsid w:val="000C1335"/>
    <w:rsid w:val="000C3492"/>
    <w:rsid w:val="000D033F"/>
    <w:rsid w:val="000D1557"/>
    <w:rsid w:val="000E54B5"/>
    <w:rsid w:val="000E7931"/>
    <w:rsid w:val="000E7DB4"/>
    <w:rsid w:val="000F06DA"/>
    <w:rsid w:val="000F1DE9"/>
    <w:rsid w:val="000F33CF"/>
    <w:rsid w:val="000F7249"/>
    <w:rsid w:val="00103471"/>
    <w:rsid w:val="001041A7"/>
    <w:rsid w:val="001135D1"/>
    <w:rsid w:val="00114E97"/>
    <w:rsid w:val="00115242"/>
    <w:rsid w:val="00116C78"/>
    <w:rsid w:val="001208C8"/>
    <w:rsid w:val="00121853"/>
    <w:rsid w:val="0012196B"/>
    <w:rsid w:val="00124D29"/>
    <w:rsid w:val="00133D97"/>
    <w:rsid w:val="001373CE"/>
    <w:rsid w:val="00141F75"/>
    <w:rsid w:val="0014266B"/>
    <w:rsid w:val="00144D79"/>
    <w:rsid w:val="001457B9"/>
    <w:rsid w:val="00164B0A"/>
    <w:rsid w:val="00165233"/>
    <w:rsid w:val="00170A0D"/>
    <w:rsid w:val="00174427"/>
    <w:rsid w:val="00176F39"/>
    <w:rsid w:val="001778DE"/>
    <w:rsid w:val="0018567C"/>
    <w:rsid w:val="00192357"/>
    <w:rsid w:val="001938DA"/>
    <w:rsid w:val="001964BA"/>
    <w:rsid w:val="001A50BD"/>
    <w:rsid w:val="001A685A"/>
    <w:rsid w:val="001B1AA3"/>
    <w:rsid w:val="001B2E64"/>
    <w:rsid w:val="001C0BB4"/>
    <w:rsid w:val="001C43D3"/>
    <w:rsid w:val="001C444B"/>
    <w:rsid w:val="001C4629"/>
    <w:rsid w:val="001D327A"/>
    <w:rsid w:val="001D43D4"/>
    <w:rsid w:val="001D490B"/>
    <w:rsid w:val="001E1216"/>
    <w:rsid w:val="001E1CD3"/>
    <w:rsid w:val="001E47B4"/>
    <w:rsid w:val="001E4969"/>
    <w:rsid w:val="001E4E64"/>
    <w:rsid w:val="001E7D6A"/>
    <w:rsid w:val="001F1125"/>
    <w:rsid w:val="001F1F69"/>
    <w:rsid w:val="001F7580"/>
    <w:rsid w:val="001F7763"/>
    <w:rsid w:val="001F7D16"/>
    <w:rsid w:val="002033B1"/>
    <w:rsid w:val="0020434B"/>
    <w:rsid w:val="00204B11"/>
    <w:rsid w:val="002108E7"/>
    <w:rsid w:val="002137A9"/>
    <w:rsid w:val="00215454"/>
    <w:rsid w:val="0022084B"/>
    <w:rsid w:val="00220D8D"/>
    <w:rsid w:val="002210CF"/>
    <w:rsid w:val="002223D0"/>
    <w:rsid w:val="0022265A"/>
    <w:rsid w:val="00224255"/>
    <w:rsid w:val="00224D43"/>
    <w:rsid w:val="00224DC1"/>
    <w:rsid w:val="00226947"/>
    <w:rsid w:val="002276CB"/>
    <w:rsid w:val="00232580"/>
    <w:rsid w:val="00232B35"/>
    <w:rsid w:val="00233C58"/>
    <w:rsid w:val="00234720"/>
    <w:rsid w:val="002358C5"/>
    <w:rsid w:val="00240ED9"/>
    <w:rsid w:val="00242073"/>
    <w:rsid w:val="00246B9F"/>
    <w:rsid w:val="00252C97"/>
    <w:rsid w:val="00254CEE"/>
    <w:rsid w:val="00260921"/>
    <w:rsid w:val="0026148B"/>
    <w:rsid w:val="00263D5A"/>
    <w:rsid w:val="00263FA2"/>
    <w:rsid w:val="002660A8"/>
    <w:rsid w:val="00271C1F"/>
    <w:rsid w:val="002760A9"/>
    <w:rsid w:val="00277A39"/>
    <w:rsid w:val="002801C5"/>
    <w:rsid w:val="002802DE"/>
    <w:rsid w:val="002837CE"/>
    <w:rsid w:val="00283874"/>
    <w:rsid w:val="002856C0"/>
    <w:rsid w:val="00287352"/>
    <w:rsid w:val="002905ED"/>
    <w:rsid w:val="002921CC"/>
    <w:rsid w:val="00292DD3"/>
    <w:rsid w:val="002971EE"/>
    <w:rsid w:val="002A46E8"/>
    <w:rsid w:val="002B02E7"/>
    <w:rsid w:val="002B06FB"/>
    <w:rsid w:val="002B4995"/>
    <w:rsid w:val="002B4CC7"/>
    <w:rsid w:val="002B61C0"/>
    <w:rsid w:val="002C23F2"/>
    <w:rsid w:val="002C304D"/>
    <w:rsid w:val="002C3717"/>
    <w:rsid w:val="002C3DE3"/>
    <w:rsid w:val="002C4DED"/>
    <w:rsid w:val="002D0EC8"/>
    <w:rsid w:val="002D184A"/>
    <w:rsid w:val="002D217A"/>
    <w:rsid w:val="002D2CC2"/>
    <w:rsid w:val="002D4049"/>
    <w:rsid w:val="002D40B6"/>
    <w:rsid w:val="002D6EAE"/>
    <w:rsid w:val="002E02F7"/>
    <w:rsid w:val="002E0FA9"/>
    <w:rsid w:val="002F11A4"/>
    <w:rsid w:val="002F1BAA"/>
    <w:rsid w:val="002F2CDF"/>
    <w:rsid w:val="002F3F16"/>
    <w:rsid w:val="002F4B06"/>
    <w:rsid w:val="002F4F06"/>
    <w:rsid w:val="002F70BF"/>
    <w:rsid w:val="00300DC9"/>
    <w:rsid w:val="00300E11"/>
    <w:rsid w:val="00302E4A"/>
    <w:rsid w:val="00304404"/>
    <w:rsid w:val="00307520"/>
    <w:rsid w:val="00310E59"/>
    <w:rsid w:val="0031314C"/>
    <w:rsid w:val="003139D9"/>
    <w:rsid w:val="003139DD"/>
    <w:rsid w:val="00313ABB"/>
    <w:rsid w:val="003149B1"/>
    <w:rsid w:val="00314F91"/>
    <w:rsid w:val="00317B45"/>
    <w:rsid w:val="00321490"/>
    <w:rsid w:val="0032156A"/>
    <w:rsid w:val="003239B5"/>
    <w:rsid w:val="00326D82"/>
    <w:rsid w:val="00327725"/>
    <w:rsid w:val="003315B8"/>
    <w:rsid w:val="0033276C"/>
    <w:rsid w:val="00333BA0"/>
    <w:rsid w:val="00337CBC"/>
    <w:rsid w:val="00350B23"/>
    <w:rsid w:val="00351C1E"/>
    <w:rsid w:val="0035753B"/>
    <w:rsid w:val="0036200D"/>
    <w:rsid w:val="00363A70"/>
    <w:rsid w:val="00364882"/>
    <w:rsid w:val="00366C5C"/>
    <w:rsid w:val="00367CB7"/>
    <w:rsid w:val="00370A8A"/>
    <w:rsid w:val="0037133C"/>
    <w:rsid w:val="00372DFF"/>
    <w:rsid w:val="003746F9"/>
    <w:rsid w:val="0037642D"/>
    <w:rsid w:val="003804BE"/>
    <w:rsid w:val="00381BCF"/>
    <w:rsid w:val="00384629"/>
    <w:rsid w:val="00386388"/>
    <w:rsid w:val="00393401"/>
    <w:rsid w:val="003940FF"/>
    <w:rsid w:val="00395800"/>
    <w:rsid w:val="003976FA"/>
    <w:rsid w:val="003A7667"/>
    <w:rsid w:val="003B18D7"/>
    <w:rsid w:val="003B2467"/>
    <w:rsid w:val="003B2E13"/>
    <w:rsid w:val="003B2F8B"/>
    <w:rsid w:val="003B3808"/>
    <w:rsid w:val="003B4038"/>
    <w:rsid w:val="003B499C"/>
    <w:rsid w:val="003B4DB5"/>
    <w:rsid w:val="003B59D9"/>
    <w:rsid w:val="003B7950"/>
    <w:rsid w:val="003C2811"/>
    <w:rsid w:val="003C4AC9"/>
    <w:rsid w:val="003D28C8"/>
    <w:rsid w:val="003D2F14"/>
    <w:rsid w:val="003D4529"/>
    <w:rsid w:val="003E36CD"/>
    <w:rsid w:val="003E53AD"/>
    <w:rsid w:val="003E74BE"/>
    <w:rsid w:val="003F56CF"/>
    <w:rsid w:val="003F7A8F"/>
    <w:rsid w:val="00402A55"/>
    <w:rsid w:val="00403A6F"/>
    <w:rsid w:val="00411EB7"/>
    <w:rsid w:val="004130FD"/>
    <w:rsid w:val="00413855"/>
    <w:rsid w:val="004147DF"/>
    <w:rsid w:val="0041653E"/>
    <w:rsid w:val="00425F2D"/>
    <w:rsid w:val="0042719D"/>
    <w:rsid w:val="0042789D"/>
    <w:rsid w:val="00430CBB"/>
    <w:rsid w:val="00431825"/>
    <w:rsid w:val="00440355"/>
    <w:rsid w:val="00441C14"/>
    <w:rsid w:val="00444CBC"/>
    <w:rsid w:val="004459F5"/>
    <w:rsid w:val="00446596"/>
    <w:rsid w:val="00452EB2"/>
    <w:rsid w:val="0045323D"/>
    <w:rsid w:val="004751AE"/>
    <w:rsid w:val="00475DE5"/>
    <w:rsid w:val="00476688"/>
    <w:rsid w:val="00476C0B"/>
    <w:rsid w:val="004773A0"/>
    <w:rsid w:val="00480D38"/>
    <w:rsid w:val="00486D11"/>
    <w:rsid w:val="0049624B"/>
    <w:rsid w:val="004A45FB"/>
    <w:rsid w:val="004A4A2D"/>
    <w:rsid w:val="004A62A5"/>
    <w:rsid w:val="004B0B1E"/>
    <w:rsid w:val="004B1CF6"/>
    <w:rsid w:val="004B324C"/>
    <w:rsid w:val="004B445D"/>
    <w:rsid w:val="004B74AB"/>
    <w:rsid w:val="004B7ECB"/>
    <w:rsid w:val="004B7FA1"/>
    <w:rsid w:val="004C030D"/>
    <w:rsid w:val="004C1398"/>
    <w:rsid w:val="004C16FA"/>
    <w:rsid w:val="004C622D"/>
    <w:rsid w:val="004C6ABB"/>
    <w:rsid w:val="004D022B"/>
    <w:rsid w:val="004D065C"/>
    <w:rsid w:val="004D0E8F"/>
    <w:rsid w:val="004D23B8"/>
    <w:rsid w:val="004D33AD"/>
    <w:rsid w:val="004D5251"/>
    <w:rsid w:val="004D5F72"/>
    <w:rsid w:val="004E216D"/>
    <w:rsid w:val="004E25CC"/>
    <w:rsid w:val="004E394E"/>
    <w:rsid w:val="004E53B5"/>
    <w:rsid w:val="004E6BC5"/>
    <w:rsid w:val="004F1D90"/>
    <w:rsid w:val="004F524C"/>
    <w:rsid w:val="00500F74"/>
    <w:rsid w:val="005018AC"/>
    <w:rsid w:val="00501EC2"/>
    <w:rsid w:val="005120F2"/>
    <w:rsid w:val="005122DB"/>
    <w:rsid w:val="00514AEA"/>
    <w:rsid w:val="005154D0"/>
    <w:rsid w:val="005201A1"/>
    <w:rsid w:val="005202D7"/>
    <w:rsid w:val="00521809"/>
    <w:rsid w:val="00526712"/>
    <w:rsid w:val="00527468"/>
    <w:rsid w:val="00527B30"/>
    <w:rsid w:val="00532406"/>
    <w:rsid w:val="00532D2D"/>
    <w:rsid w:val="00534CC6"/>
    <w:rsid w:val="005424E2"/>
    <w:rsid w:val="00544938"/>
    <w:rsid w:val="00550F02"/>
    <w:rsid w:val="005544FB"/>
    <w:rsid w:val="00555320"/>
    <w:rsid w:val="00556719"/>
    <w:rsid w:val="005605ED"/>
    <w:rsid w:val="00561DF6"/>
    <w:rsid w:val="0056456A"/>
    <w:rsid w:val="00566215"/>
    <w:rsid w:val="0056719D"/>
    <w:rsid w:val="005700DC"/>
    <w:rsid w:val="00571C5B"/>
    <w:rsid w:val="005823C8"/>
    <w:rsid w:val="00582635"/>
    <w:rsid w:val="0058450D"/>
    <w:rsid w:val="00585478"/>
    <w:rsid w:val="00587D17"/>
    <w:rsid w:val="00590E3A"/>
    <w:rsid w:val="00594224"/>
    <w:rsid w:val="00595C5A"/>
    <w:rsid w:val="00596EC3"/>
    <w:rsid w:val="005971A9"/>
    <w:rsid w:val="00597774"/>
    <w:rsid w:val="00597958"/>
    <w:rsid w:val="00597CF6"/>
    <w:rsid w:val="005A4335"/>
    <w:rsid w:val="005A53F9"/>
    <w:rsid w:val="005A574A"/>
    <w:rsid w:val="005B4DF5"/>
    <w:rsid w:val="005B5E51"/>
    <w:rsid w:val="005B6896"/>
    <w:rsid w:val="005B7A1F"/>
    <w:rsid w:val="005C08F9"/>
    <w:rsid w:val="005C550A"/>
    <w:rsid w:val="005C5C26"/>
    <w:rsid w:val="005C619B"/>
    <w:rsid w:val="005D0D5F"/>
    <w:rsid w:val="005D1613"/>
    <w:rsid w:val="005D1C83"/>
    <w:rsid w:val="005D243B"/>
    <w:rsid w:val="005D6B98"/>
    <w:rsid w:val="005E2A95"/>
    <w:rsid w:val="005E3FC8"/>
    <w:rsid w:val="005E5DA5"/>
    <w:rsid w:val="005F2D7E"/>
    <w:rsid w:val="005F5108"/>
    <w:rsid w:val="005F52F5"/>
    <w:rsid w:val="005F7C13"/>
    <w:rsid w:val="006025AF"/>
    <w:rsid w:val="0060713A"/>
    <w:rsid w:val="006102E7"/>
    <w:rsid w:val="00614165"/>
    <w:rsid w:val="006150D8"/>
    <w:rsid w:val="00615CE2"/>
    <w:rsid w:val="00620DD5"/>
    <w:rsid w:val="00621BBA"/>
    <w:rsid w:val="00624E87"/>
    <w:rsid w:val="00633549"/>
    <w:rsid w:val="00645882"/>
    <w:rsid w:val="00651DA2"/>
    <w:rsid w:val="00651E7E"/>
    <w:rsid w:val="0065432D"/>
    <w:rsid w:val="00654800"/>
    <w:rsid w:val="00654B53"/>
    <w:rsid w:val="0066013B"/>
    <w:rsid w:val="00661E9A"/>
    <w:rsid w:val="0066239B"/>
    <w:rsid w:val="00663574"/>
    <w:rsid w:val="00663690"/>
    <w:rsid w:val="00670B41"/>
    <w:rsid w:val="006828B2"/>
    <w:rsid w:val="00684B1B"/>
    <w:rsid w:val="00684DAB"/>
    <w:rsid w:val="00685556"/>
    <w:rsid w:val="00687762"/>
    <w:rsid w:val="00692276"/>
    <w:rsid w:val="006923CA"/>
    <w:rsid w:val="0069307D"/>
    <w:rsid w:val="006932BF"/>
    <w:rsid w:val="006933D0"/>
    <w:rsid w:val="006936E3"/>
    <w:rsid w:val="00696176"/>
    <w:rsid w:val="0069645C"/>
    <w:rsid w:val="006A03C7"/>
    <w:rsid w:val="006A372C"/>
    <w:rsid w:val="006B3195"/>
    <w:rsid w:val="006B3DDD"/>
    <w:rsid w:val="006B4135"/>
    <w:rsid w:val="006B5C41"/>
    <w:rsid w:val="006C0980"/>
    <w:rsid w:val="006C2C9E"/>
    <w:rsid w:val="006C3616"/>
    <w:rsid w:val="006C53BF"/>
    <w:rsid w:val="006C61A6"/>
    <w:rsid w:val="006D5F8F"/>
    <w:rsid w:val="006D640A"/>
    <w:rsid w:val="006D70C9"/>
    <w:rsid w:val="006D72A3"/>
    <w:rsid w:val="006E2A09"/>
    <w:rsid w:val="006E43B2"/>
    <w:rsid w:val="006E666A"/>
    <w:rsid w:val="006E7A4B"/>
    <w:rsid w:val="006F1C1C"/>
    <w:rsid w:val="006F2F0B"/>
    <w:rsid w:val="006F5C21"/>
    <w:rsid w:val="006F6350"/>
    <w:rsid w:val="00701226"/>
    <w:rsid w:val="00702864"/>
    <w:rsid w:val="00704A97"/>
    <w:rsid w:val="00706D85"/>
    <w:rsid w:val="007109A1"/>
    <w:rsid w:val="007109D1"/>
    <w:rsid w:val="007157F6"/>
    <w:rsid w:val="00726EBD"/>
    <w:rsid w:val="0072798B"/>
    <w:rsid w:val="00735BA6"/>
    <w:rsid w:val="00740889"/>
    <w:rsid w:val="007408A3"/>
    <w:rsid w:val="00745A78"/>
    <w:rsid w:val="00747010"/>
    <w:rsid w:val="007479AB"/>
    <w:rsid w:val="00750544"/>
    <w:rsid w:val="00753077"/>
    <w:rsid w:val="00761A4C"/>
    <w:rsid w:val="00762465"/>
    <w:rsid w:val="00762795"/>
    <w:rsid w:val="0076526E"/>
    <w:rsid w:val="00766EC7"/>
    <w:rsid w:val="007700E2"/>
    <w:rsid w:val="0077177D"/>
    <w:rsid w:val="00772EFE"/>
    <w:rsid w:val="007734C1"/>
    <w:rsid w:val="007735B8"/>
    <w:rsid w:val="00773E42"/>
    <w:rsid w:val="007746FC"/>
    <w:rsid w:val="0077569B"/>
    <w:rsid w:val="00775D84"/>
    <w:rsid w:val="00781FAD"/>
    <w:rsid w:val="00782119"/>
    <w:rsid w:val="00783046"/>
    <w:rsid w:val="007837FB"/>
    <w:rsid w:val="007869C5"/>
    <w:rsid w:val="007876CE"/>
    <w:rsid w:val="0079012E"/>
    <w:rsid w:val="00792E69"/>
    <w:rsid w:val="007938DB"/>
    <w:rsid w:val="007942ED"/>
    <w:rsid w:val="00797D16"/>
    <w:rsid w:val="00797ED4"/>
    <w:rsid w:val="007A2009"/>
    <w:rsid w:val="007A5009"/>
    <w:rsid w:val="007A57ED"/>
    <w:rsid w:val="007A5D5A"/>
    <w:rsid w:val="007A6D07"/>
    <w:rsid w:val="007B2B0C"/>
    <w:rsid w:val="007B3F1D"/>
    <w:rsid w:val="007C065B"/>
    <w:rsid w:val="007C20D5"/>
    <w:rsid w:val="007C2D91"/>
    <w:rsid w:val="007C3CAA"/>
    <w:rsid w:val="007C5CB3"/>
    <w:rsid w:val="007D0AD4"/>
    <w:rsid w:val="007D3055"/>
    <w:rsid w:val="007E328B"/>
    <w:rsid w:val="007F050A"/>
    <w:rsid w:val="007F1AF6"/>
    <w:rsid w:val="007F3063"/>
    <w:rsid w:val="007F3A28"/>
    <w:rsid w:val="007F3C2B"/>
    <w:rsid w:val="008006FB"/>
    <w:rsid w:val="008008D4"/>
    <w:rsid w:val="0080121B"/>
    <w:rsid w:val="00802646"/>
    <w:rsid w:val="0080442A"/>
    <w:rsid w:val="008065C6"/>
    <w:rsid w:val="00811F53"/>
    <w:rsid w:val="00812A99"/>
    <w:rsid w:val="0081669F"/>
    <w:rsid w:val="00817808"/>
    <w:rsid w:val="008200DD"/>
    <w:rsid w:val="0082112A"/>
    <w:rsid w:val="008235D3"/>
    <w:rsid w:val="0082379B"/>
    <w:rsid w:val="00825801"/>
    <w:rsid w:val="008269AF"/>
    <w:rsid w:val="00832681"/>
    <w:rsid w:val="00835B23"/>
    <w:rsid w:val="00843BAA"/>
    <w:rsid w:val="00843C05"/>
    <w:rsid w:val="00847003"/>
    <w:rsid w:val="00847AD8"/>
    <w:rsid w:val="00851ED4"/>
    <w:rsid w:val="00852D7E"/>
    <w:rsid w:val="00854F53"/>
    <w:rsid w:val="00860CEC"/>
    <w:rsid w:val="00861D92"/>
    <w:rsid w:val="00862666"/>
    <w:rsid w:val="0086475D"/>
    <w:rsid w:val="00864844"/>
    <w:rsid w:val="008666D9"/>
    <w:rsid w:val="00866976"/>
    <w:rsid w:val="00872EF0"/>
    <w:rsid w:val="0087452A"/>
    <w:rsid w:val="0088038D"/>
    <w:rsid w:val="008808D2"/>
    <w:rsid w:val="008820F6"/>
    <w:rsid w:val="008838D0"/>
    <w:rsid w:val="008860C5"/>
    <w:rsid w:val="008907BF"/>
    <w:rsid w:val="008923CB"/>
    <w:rsid w:val="00893BE8"/>
    <w:rsid w:val="00895140"/>
    <w:rsid w:val="00895DD9"/>
    <w:rsid w:val="0089732B"/>
    <w:rsid w:val="008A497C"/>
    <w:rsid w:val="008A6C87"/>
    <w:rsid w:val="008A7528"/>
    <w:rsid w:val="008B6C3D"/>
    <w:rsid w:val="008C59D7"/>
    <w:rsid w:val="008C7B46"/>
    <w:rsid w:val="008D023C"/>
    <w:rsid w:val="008D1BB8"/>
    <w:rsid w:val="008D1CE3"/>
    <w:rsid w:val="008D29C6"/>
    <w:rsid w:val="008D3452"/>
    <w:rsid w:val="008D782B"/>
    <w:rsid w:val="008D7F91"/>
    <w:rsid w:val="008E5287"/>
    <w:rsid w:val="008E6DE6"/>
    <w:rsid w:val="008E7F55"/>
    <w:rsid w:val="008F3C17"/>
    <w:rsid w:val="008F4022"/>
    <w:rsid w:val="008F5802"/>
    <w:rsid w:val="008F5DFE"/>
    <w:rsid w:val="008F775C"/>
    <w:rsid w:val="0090032B"/>
    <w:rsid w:val="009012AD"/>
    <w:rsid w:val="00907AC0"/>
    <w:rsid w:val="00910A1E"/>
    <w:rsid w:val="00913138"/>
    <w:rsid w:val="0091417A"/>
    <w:rsid w:val="009179D1"/>
    <w:rsid w:val="00921EE3"/>
    <w:rsid w:val="009242B5"/>
    <w:rsid w:val="00924535"/>
    <w:rsid w:val="009303B4"/>
    <w:rsid w:val="00931994"/>
    <w:rsid w:val="00935EA9"/>
    <w:rsid w:val="00936D6D"/>
    <w:rsid w:val="00937EC3"/>
    <w:rsid w:val="00940AD7"/>
    <w:rsid w:val="00942768"/>
    <w:rsid w:val="0094596A"/>
    <w:rsid w:val="00945ED7"/>
    <w:rsid w:val="00947DC6"/>
    <w:rsid w:val="00947F4D"/>
    <w:rsid w:val="009515B9"/>
    <w:rsid w:val="00951914"/>
    <w:rsid w:val="00954C29"/>
    <w:rsid w:val="00955707"/>
    <w:rsid w:val="00957FE3"/>
    <w:rsid w:val="0096193E"/>
    <w:rsid w:val="00962F0B"/>
    <w:rsid w:val="00970EC4"/>
    <w:rsid w:val="00971688"/>
    <w:rsid w:val="00973213"/>
    <w:rsid w:val="009745E2"/>
    <w:rsid w:val="009747AE"/>
    <w:rsid w:val="0097508B"/>
    <w:rsid w:val="00975C42"/>
    <w:rsid w:val="00981FF9"/>
    <w:rsid w:val="00983147"/>
    <w:rsid w:val="00983FAA"/>
    <w:rsid w:val="00984237"/>
    <w:rsid w:val="009849D5"/>
    <w:rsid w:val="009874ED"/>
    <w:rsid w:val="009900B1"/>
    <w:rsid w:val="0099088E"/>
    <w:rsid w:val="00990DC3"/>
    <w:rsid w:val="00991432"/>
    <w:rsid w:val="00992417"/>
    <w:rsid w:val="00995ED0"/>
    <w:rsid w:val="00997BD9"/>
    <w:rsid w:val="00997F42"/>
    <w:rsid w:val="009A0AF9"/>
    <w:rsid w:val="009A0E16"/>
    <w:rsid w:val="009A18DF"/>
    <w:rsid w:val="009A52E0"/>
    <w:rsid w:val="009A5CF7"/>
    <w:rsid w:val="009B1CAC"/>
    <w:rsid w:val="009B2F09"/>
    <w:rsid w:val="009B361C"/>
    <w:rsid w:val="009B70D1"/>
    <w:rsid w:val="009C555C"/>
    <w:rsid w:val="009C77A5"/>
    <w:rsid w:val="009D1AEE"/>
    <w:rsid w:val="009D2156"/>
    <w:rsid w:val="009D31DB"/>
    <w:rsid w:val="009D7B5A"/>
    <w:rsid w:val="009E0D32"/>
    <w:rsid w:val="009E1062"/>
    <w:rsid w:val="009E201A"/>
    <w:rsid w:val="009E648C"/>
    <w:rsid w:val="009E78D5"/>
    <w:rsid w:val="009F2759"/>
    <w:rsid w:val="009F6BB0"/>
    <w:rsid w:val="00A007CE"/>
    <w:rsid w:val="00A02182"/>
    <w:rsid w:val="00A04698"/>
    <w:rsid w:val="00A07F64"/>
    <w:rsid w:val="00A1067A"/>
    <w:rsid w:val="00A11799"/>
    <w:rsid w:val="00A11C76"/>
    <w:rsid w:val="00A12D0C"/>
    <w:rsid w:val="00A14E31"/>
    <w:rsid w:val="00A168C1"/>
    <w:rsid w:val="00A17B91"/>
    <w:rsid w:val="00A2354D"/>
    <w:rsid w:val="00A25AD9"/>
    <w:rsid w:val="00A27669"/>
    <w:rsid w:val="00A338FC"/>
    <w:rsid w:val="00A34037"/>
    <w:rsid w:val="00A34234"/>
    <w:rsid w:val="00A40CF3"/>
    <w:rsid w:val="00A414B3"/>
    <w:rsid w:val="00A434D5"/>
    <w:rsid w:val="00A43AA2"/>
    <w:rsid w:val="00A43CDB"/>
    <w:rsid w:val="00A45BED"/>
    <w:rsid w:val="00A4674B"/>
    <w:rsid w:val="00A4786C"/>
    <w:rsid w:val="00A47C24"/>
    <w:rsid w:val="00A51190"/>
    <w:rsid w:val="00A543FC"/>
    <w:rsid w:val="00A55E9C"/>
    <w:rsid w:val="00A606D8"/>
    <w:rsid w:val="00A60BC1"/>
    <w:rsid w:val="00A61849"/>
    <w:rsid w:val="00A61DEB"/>
    <w:rsid w:val="00A6288C"/>
    <w:rsid w:val="00A62E75"/>
    <w:rsid w:val="00A65644"/>
    <w:rsid w:val="00A67F8C"/>
    <w:rsid w:val="00A71BB4"/>
    <w:rsid w:val="00A71C24"/>
    <w:rsid w:val="00A7251B"/>
    <w:rsid w:val="00A748C6"/>
    <w:rsid w:val="00A74A66"/>
    <w:rsid w:val="00A759BD"/>
    <w:rsid w:val="00A77D3C"/>
    <w:rsid w:val="00A8197C"/>
    <w:rsid w:val="00A82172"/>
    <w:rsid w:val="00A83170"/>
    <w:rsid w:val="00A853BA"/>
    <w:rsid w:val="00A868E2"/>
    <w:rsid w:val="00A86C91"/>
    <w:rsid w:val="00A874A0"/>
    <w:rsid w:val="00A9538C"/>
    <w:rsid w:val="00A96A1C"/>
    <w:rsid w:val="00AA04EC"/>
    <w:rsid w:val="00AA0FAF"/>
    <w:rsid w:val="00AA41F8"/>
    <w:rsid w:val="00AA4253"/>
    <w:rsid w:val="00AA477B"/>
    <w:rsid w:val="00AB2317"/>
    <w:rsid w:val="00AB59D2"/>
    <w:rsid w:val="00AB5D81"/>
    <w:rsid w:val="00AB670B"/>
    <w:rsid w:val="00AB6C72"/>
    <w:rsid w:val="00AC4E90"/>
    <w:rsid w:val="00AC698A"/>
    <w:rsid w:val="00AC6D7B"/>
    <w:rsid w:val="00AD153E"/>
    <w:rsid w:val="00AD1654"/>
    <w:rsid w:val="00AD58E0"/>
    <w:rsid w:val="00AE0B50"/>
    <w:rsid w:val="00AE1945"/>
    <w:rsid w:val="00AE2D7B"/>
    <w:rsid w:val="00AE30CA"/>
    <w:rsid w:val="00AE3F0B"/>
    <w:rsid w:val="00AE520C"/>
    <w:rsid w:val="00AE7A6A"/>
    <w:rsid w:val="00AE7F36"/>
    <w:rsid w:val="00AF395F"/>
    <w:rsid w:val="00AF7EF9"/>
    <w:rsid w:val="00B057DC"/>
    <w:rsid w:val="00B1643B"/>
    <w:rsid w:val="00B22218"/>
    <w:rsid w:val="00B26820"/>
    <w:rsid w:val="00B276DD"/>
    <w:rsid w:val="00B27760"/>
    <w:rsid w:val="00B2785F"/>
    <w:rsid w:val="00B3256C"/>
    <w:rsid w:val="00B32647"/>
    <w:rsid w:val="00B35D0D"/>
    <w:rsid w:val="00B37279"/>
    <w:rsid w:val="00B37FA9"/>
    <w:rsid w:val="00B4203D"/>
    <w:rsid w:val="00B44EA1"/>
    <w:rsid w:val="00B461D0"/>
    <w:rsid w:val="00B52527"/>
    <w:rsid w:val="00B54456"/>
    <w:rsid w:val="00B60432"/>
    <w:rsid w:val="00B60594"/>
    <w:rsid w:val="00B6402B"/>
    <w:rsid w:val="00B64EDD"/>
    <w:rsid w:val="00B662B7"/>
    <w:rsid w:val="00B66DB3"/>
    <w:rsid w:val="00B71A20"/>
    <w:rsid w:val="00B71C64"/>
    <w:rsid w:val="00B74529"/>
    <w:rsid w:val="00B763EA"/>
    <w:rsid w:val="00B80BB5"/>
    <w:rsid w:val="00B843B2"/>
    <w:rsid w:val="00B937AD"/>
    <w:rsid w:val="00B95101"/>
    <w:rsid w:val="00B95639"/>
    <w:rsid w:val="00B95EFE"/>
    <w:rsid w:val="00BA03C3"/>
    <w:rsid w:val="00BA3E76"/>
    <w:rsid w:val="00BB0050"/>
    <w:rsid w:val="00BB1CA9"/>
    <w:rsid w:val="00BB292B"/>
    <w:rsid w:val="00BB3C82"/>
    <w:rsid w:val="00BB4985"/>
    <w:rsid w:val="00BB55EE"/>
    <w:rsid w:val="00BB5603"/>
    <w:rsid w:val="00BB5B87"/>
    <w:rsid w:val="00BC05CB"/>
    <w:rsid w:val="00BC2113"/>
    <w:rsid w:val="00BC293A"/>
    <w:rsid w:val="00BC2FA8"/>
    <w:rsid w:val="00BC342B"/>
    <w:rsid w:val="00BC360A"/>
    <w:rsid w:val="00BC7566"/>
    <w:rsid w:val="00BD3A8B"/>
    <w:rsid w:val="00BD498C"/>
    <w:rsid w:val="00BD51EA"/>
    <w:rsid w:val="00BD60FB"/>
    <w:rsid w:val="00BD6618"/>
    <w:rsid w:val="00BE0F46"/>
    <w:rsid w:val="00BE3E97"/>
    <w:rsid w:val="00BE4227"/>
    <w:rsid w:val="00BE7363"/>
    <w:rsid w:val="00BF30C3"/>
    <w:rsid w:val="00BF5451"/>
    <w:rsid w:val="00C00F65"/>
    <w:rsid w:val="00C0210E"/>
    <w:rsid w:val="00C05613"/>
    <w:rsid w:val="00C101E0"/>
    <w:rsid w:val="00C11385"/>
    <w:rsid w:val="00C12058"/>
    <w:rsid w:val="00C12E00"/>
    <w:rsid w:val="00C13115"/>
    <w:rsid w:val="00C22690"/>
    <w:rsid w:val="00C2367C"/>
    <w:rsid w:val="00C25A07"/>
    <w:rsid w:val="00C27F8C"/>
    <w:rsid w:val="00C300F3"/>
    <w:rsid w:val="00C30DF0"/>
    <w:rsid w:val="00C36C56"/>
    <w:rsid w:val="00C40D3F"/>
    <w:rsid w:val="00C45154"/>
    <w:rsid w:val="00C46BD8"/>
    <w:rsid w:val="00C47507"/>
    <w:rsid w:val="00C47C87"/>
    <w:rsid w:val="00C51138"/>
    <w:rsid w:val="00C5391F"/>
    <w:rsid w:val="00C5736E"/>
    <w:rsid w:val="00C60E34"/>
    <w:rsid w:val="00C62EC0"/>
    <w:rsid w:val="00C62FB3"/>
    <w:rsid w:val="00C631B9"/>
    <w:rsid w:val="00C63D6A"/>
    <w:rsid w:val="00C64E40"/>
    <w:rsid w:val="00C71477"/>
    <w:rsid w:val="00C72C39"/>
    <w:rsid w:val="00C74D4E"/>
    <w:rsid w:val="00C8116D"/>
    <w:rsid w:val="00C82276"/>
    <w:rsid w:val="00C82E4C"/>
    <w:rsid w:val="00C851B9"/>
    <w:rsid w:val="00C87D91"/>
    <w:rsid w:val="00C90946"/>
    <w:rsid w:val="00C92918"/>
    <w:rsid w:val="00C94E35"/>
    <w:rsid w:val="00C95606"/>
    <w:rsid w:val="00C976EA"/>
    <w:rsid w:val="00CB1F82"/>
    <w:rsid w:val="00CB2D66"/>
    <w:rsid w:val="00CB31A3"/>
    <w:rsid w:val="00CB423C"/>
    <w:rsid w:val="00CB4C80"/>
    <w:rsid w:val="00CB4D81"/>
    <w:rsid w:val="00CB50EF"/>
    <w:rsid w:val="00CB7A29"/>
    <w:rsid w:val="00CC1DA2"/>
    <w:rsid w:val="00CC2B86"/>
    <w:rsid w:val="00CC6A57"/>
    <w:rsid w:val="00CC7491"/>
    <w:rsid w:val="00CD296E"/>
    <w:rsid w:val="00CD381A"/>
    <w:rsid w:val="00CD3B1B"/>
    <w:rsid w:val="00CD66B7"/>
    <w:rsid w:val="00CD71AB"/>
    <w:rsid w:val="00CE06B1"/>
    <w:rsid w:val="00CE0C5E"/>
    <w:rsid w:val="00CE0F43"/>
    <w:rsid w:val="00CE306C"/>
    <w:rsid w:val="00CF67BB"/>
    <w:rsid w:val="00CF6F53"/>
    <w:rsid w:val="00D025B4"/>
    <w:rsid w:val="00D04A0E"/>
    <w:rsid w:val="00D10ABD"/>
    <w:rsid w:val="00D114DF"/>
    <w:rsid w:val="00D11EC9"/>
    <w:rsid w:val="00D1479D"/>
    <w:rsid w:val="00D16702"/>
    <w:rsid w:val="00D22A02"/>
    <w:rsid w:val="00D23829"/>
    <w:rsid w:val="00D25E28"/>
    <w:rsid w:val="00D267E5"/>
    <w:rsid w:val="00D27F4C"/>
    <w:rsid w:val="00D31C0E"/>
    <w:rsid w:val="00D329BF"/>
    <w:rsid w:val="00D35C50"/>
    <w:rsid w:val="00D42161"/>
    <w:rsid w:val="00D43720"/>
    <w:rsid w:val="00D43CF9"/>
    <w:rsid w:val="00D45000"/>
    <w:rsid w:val="00D53196"/>
    <w:rsid w:val="00D55F62"/>
    <w:rsid w:val="00D57C90"/>
    <w:rsid w:val="00D61661"/>
    <w:rsid w:val="00D63F76"/>
    <w:rsid w:val="00D713E9"/>
    <w:rsid w:val="00D727E0"/>
    <w:rsid w:val="00D728AC"/>
    <w:rsid w:val="00D72C7E"/>
    <w:rsid w:val="00D74AE0"/>
    <w:rsid w:val="00D75897"/>
    <w:rsid w:val="00D76E17"/>
    <w:rsid w:val="00D76EAF"/>
    <w:rsid w:val="00D86509"/>
    <w:rsid w:val="00D87990"/>
    <w:rsid w:val="00D91927"/>
    <w:rsid w:val="00D91A07"/>
    <w:rsid w:val="00D92C04"/>
    <w:rsid w:val="00D95CB9"/>
    <w:rsid w:val="00DA6D2F"/>
    <w:rsid w:val="00DA7C69"/>
    <w:rsid w:val="00DB0824"/>
    <w:rsid w:val="00DB2A31"/>
    <w:rsid w:val="00DB312C"/>
    <w:rsid w:val="00DB3203"/>
    <w:rsid w:val="00DB35B1"/>
    <w:rsid w:val="00DB4B9A"/>
    <w:rsid w:val="00DB7F92"/>
    <w:rsid w:val="00DC09BD"/>
    <w:rsid w:val="00DC23CB"/>
    <w:rsid w:val="00DC24A4"/>
    <w:rsid w:val="00DC31C3"/>
    <w:rsid w:val="00DC439F"/>
    <w:rsid w:val="00DC499C"/>
    <w:rsid w:val="00DC5DDC"/>
    <w:rsid w:val="00DC6C4F"/>
    <w:rsid w:val="00DC709E"/>
    <w:rsid w:val="00DD24F2"/>
    <w:rsid w:val="00DD5008"/>
    <w:rsid w:val="00DD6FE7"/>
    <w:rsid w:val="00DE1AD4"/>
    <w:rsid w:val="00DE3ED8"/>
    <w:rsid w:val="00DE60CC"/>
    <w:rsid w:val="00DE787A"/>
    <w:rsid w:val="00DF1924"/>
    <w:rsid w:val="00DF3CF2"/>
    <w:rsid w:val="00DF55D0"/>
    <w:rsid w:val="00E00AAE"/>
    <w:rsid w:val="00E025A5"/>
    <w:rsid w:val="00E04BD4"/>
    <w:rsid w:val="00E075D7"/>
    <w:rsid w:val="00E118C6"/>
    <w:rsid w:val="00E11E8E"/>
    <w:rsid w:val="00E14B54"/>
    <w:rsid w:val="00E1565B"/>
    <w:rsid w:val="00E20B24"/>
    <w:rsid w:val="00E22440"/>
    <w:rsid w:val="00E2251E"/>
    <w:rsid w:val="00E27D50"/>
    <w:rsid w:val="00E27DC9"/>
    <w:rsid w:val="00E345D3"/>
    <w:rsid w:val="00E37D7E"/>
    <w:rsid w:val="00E427A8"/>
    <w:rsid w:val="00E457A9"/>
    <w:rsid w:val="00E50B64"/>
    <w:rsid w:val="00E51036"/>
    <w:rsid w:val="00E512FD"/>
    <w:rsid w:val="00E51C3F"/>
    <w:rsid w:val="00E56E94"/>
    <w:rsid w:val="00E62C11"/>
    <w:rsid w:val="00E63670"/>
    <w:rsid w:val="00E64B21"/>
    <w:rsid w:val="00E66E98"/>
    <w:rsid w:val="00E75098"/>
    <w:rsid w:val="00E75E85"/>
    <w:rsid w:val="00E767D3"/>
    <w:rsid w:val="00E80B5A"/>
    <w:rsid w:val="00E81743"/>
    <w:rsid w:val="00E82067"/>
    <w:rsid w:val="00E83B03"/>
    <w:rsid w:val="00E84652"/>
    <w:rsid w:val="00E868FA"/>
    <w:rsid w:val="00E87A5F"/>
    <w:rsid w:val="00E90C8F"/>
    <w:rsid w:val="00E92115"/>
    <w:rsid w:val="00E9293B"/>
    <w:rsid w:val="00E9319B"/>
    <w:rsid w:val="00E94946"/>
    <w:rsid w:val="00E94D95"/>
    <w:rsid w:val="00E97B26"/>
    <w:rsid w:val="00EA0E0B"/>
    <w:rsid w:val="00EA10AC"/>
    <w:rsid w:val="00EB2210"/>
    <w:rsid w:val="00EB335D"/>
    <w:rsid w:val="00EB4C17"/>
    <w:rsid w:val="00EB5A10"/>
    <w:rsid w:val="00EC2405"/>
    <w:rsid w:val="00EC48CD"/>
    <w:rsid w:val="00EC5801"/>
    <w:rsid w:val="00EC5AB9"/>
    <w:rsid w:val="00EC6066"/>
    <w:rsid w:val="00EC6C28"/>
    <w:rsid w:val="00EC76D4"/>
    <w:rsid w:val="00ED29A8"/>
    <w:rsid w:val="00ED4950"/>
    <w:rsid w:val="00ED69A5"/>
    <w:rsid w:val="00EE10A7"/>
    <w:rsid w:val="00EE1C23"/>
    <w:rsid w:val="00EE330F"/>
    <w:rsid w:val="00EE3472"/>
    <w:rsid w:val="00EE3ABA"/>
    <w:rsid w:val="00EE7822"/>
    <w:rsid w:val="00EE79B4"/>
    <w:rsid w:val="00EF12CC"/>
    <w:rsid w:val="00EF1B90"/>
    <w:rsid w:val="00EF1F3E"/>
    <w:rsid w:val="00EF33D0"/>
    <w:rsid w:val="00EF6453"/>
    <w:rsid w:val="00EF7FF1"/>
    <w:rsid w:val="00F01949"/>
    <w:rsid w:val="00F06224"/>
    <w:rsid w:val="00F11B85"/>
    <w:rsid w:val="00F1400C"/>
    <w:rsid w:val="00F167BE"/>
    <w:rsid w:val="00F23E43"/>
    <w:rsid w:val="00F243D4"/>
    <w:rsid w:val="00F2481B"/>
    <w:rsid w:val="00F249E0"/>
    <w:rsid w:val="00F2735D"/>
    <w:rsid w:val="00F318C4"/>
    <w:rsid w:val="00F331C3"/>
    <w:rsid w:val="00F33FCC"/>
    <w:rsid w:val="00F35121"/>
    <w:rsid w:val="00F37A1F"/>
    <w:rsid w:val="00F37BD9"/>
    <w:rsid w:val="00F37FDC"/>
    <w:rsid w:val="00F41370"/>
    <w:rsid w:val="00F41EAB"/>
    <w:rsid w:val="00F5030B"/>
    <w:rsid w:val="00F503E1"/>
    <w:rsid w:val="00F512B1"/>
    <w:rsid w:val="00F51C48"/>
    <w:rsid w:val="00F57F62"/>
    <w:rsid w:val="00F618F8"/>
    <w:rsid w:val="00F64D2E"/>
    <w:rsid w:val="00F64E4C"/>
    <w:rsid w:val="00F75DBF"/>
    <w:rsid w:val="00F76E1D"/>
    <w:rsid w:val="00F7747B"/>
    <w:rsid w:val="00F80EB6"/>
    <w:rsid w:val="00F8163F"/>
    <w:rsid w:val="00F82289"/>
    <w:rsid w:val="00F864A1"/>
    <w:rsid w:val="00F943D1"/>
    <w:rsid w:val="00F9567E"/>
    <w:rsid w:val="00F9748F"/>
    <w:rsid w:val="00F9779C"/>
    <w:rsid w:val="00FB069B"/>
    <w:rsid w:val="00FB087D"/>
    <w:rsid w:val="00FB1215"/>
    <w:rsid w:val="00FB1592"/>
    <w:rsid w:val="00FD035E"/>
    <w:rsid w:val="00FD2F90"/>
    <w:rsid w:val="00FD48F4"/>
    <w:rsid w:val="00FD676B"/>
    <w:rsid w:val="00FD6878"/>
    <w:rsid w:val="00FE299F"/>
    <w:rsid w:val="00FE320F"/>
    <w:rsid w:val="00FE5432"/>
    <w:rsid w:val="00FE5F29"/>
    <w:rsid w:val="00FE71DE"/>
    <w:rsid w:val="00FF1377"/>
    <w:rsid w:val="00FF175C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12D8C"/>
  <w15:chartTrackingRefBased/>
  <w15:docId w15:val="{FC678ED3-D1EF-CF42-961F-580F1F7A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E8C"/>
  </w:style>
  <w:style w:type="paragraph" w:styleId="Heading1">
    <w:name w:val="heading 1"/>
    <w:basedOn w:val="Normal"/>
    <w:link w:val="Heading1Char"/>
    <w:uiPriority w:val="9"/>
    <w:qFormat/>
    <w:rsid w:val="009900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900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62"/>
    <w:pPr>
      <w:ind w:left="720"/>
      <w:contextualSpacing/>
    </w:pPr>
  </w:style>
  <w:style w:type="paragraph" w:customStyle="1" w:styleId="Default">
    <w:name w:val="Default"/>
    <w:rsid w:val="0068776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0934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4E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2A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A02"/>
  </w:style>
  <w:style w:type="character" w:styleId="PageNumber">
    <w:name w:val="page number"/>
    <w:basedOn w:val="DefaultParagraphFont"/>
    <w:uiPriority w:val="99"/>
    <w:semiHidden/>
    <w:unhideWhenUsed/>
    <w:rsid w:val="00D22A02"/>
  </w:style>
  <w:style w:type="paragraph" w:styleId="Header">
    <w:name w:val="header"/>
    <w:basedOn w:val="Normal"/>
    <w:link w:val="HeaderChar"/>
    <w:uiPriority w:val="99"/>
    <w:unhideWhenUsed/>
    <w:rsid w:val="00D22A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A02"/>
  </w:style>
  <w:style w:type="paragraph" w:styleId="BalloonText">
    <w:name w:val="Balloon Text"/>
    <w:basedOn w:val="Normal"/>
    <w:link w:val="BalloonTextChar"/>
    <w:uiPriority w:val="99"/>
    <w:semiHidden/>
    <w:unhideWhenUsed/>
    <w:rsid w:val="00C236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7C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0D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D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0DF0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0C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00B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900B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personname">
    <w:name w:val="person_name"/>
    <w:basedOn w:val="DefaultParagraphFont"/>
    <w:rsid w:val="00F2481B"/>
  </w:style>
  <w:style w:type="character" w:styleId="Emphasis">
    <w:name w:val="Emphasis"/>
    <w:basedOn w:val="DefaultParagraphFont"/>
    <w:uiPriority w:val="20"/>
    <w:qFormat/>
    <w:rsid w:val="00F2481B"/>
    <w:rPr>
      <w:i/>
      <w:iCs/>
    </w:rPr>
  </w:style>
  <w:style w:type="character" w:styleId="Hyperlink">
    <w:name w:val="Hyperlink"/>
    <w:basedOn w:val="DefaultParagraphFont"/>
    <w:uiPriority w:val="99"/>
    <w:unhideWhenUsed/>
    <w:rsid w:val="00486D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2B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81F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81FAD"/>
  </w:style>
  <w:style w:type="character" w:customStyle="1" w:styleId="eop">
    <w:name w:val="eop"/>
    <w:basedOn w:val="DefaultParagraphFont"/>
    <w:rsid w:val="00781FAD"/>
  </w:style>
  <w:style w:type="character" w:styleId="CommentReference">
    <w:name w:val="annotation reference"/>
    <w:basedOn w:val="DefaultParagraphFont"/>
    <w:uiPriority w:val="99"/>
    <w:semiHidden/>
    <w:unhideWhenUsed/>
    <w:rsid w:val="005449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9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51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722442295">
          <w:marLeft w:val="21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92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048567/guide-to-making-legislation-2022.pdf" TargetMode="External"/><Relationship Id="rId13" Type="http://schemas.openxmlformats.org/officeDocument/2006/relationships/hyperlink" Target="https://www.legislation.gov.uk/ukpga/2022/2/contents/enacted" TargetMode="External"/><Relationship Id="rId18" Type="http://schemas.openxmlformats.org/officeDocument/2006/relationships/hyperlink" Target="https://www.parlamaid-alba.scot/-/media/files/legislation/bills/current-bills/scottish-elections-franchise-and-representation-scotland-bill/stage-2/revised-groupings-of-amendments-scottish-elections-franchise-and-representation-bill.pd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HNNg07v7PZexh0XZZUw7XuUT6brgMvh-/edit?usp=sharing&amp;ouid=104758876655123674254&amp;rtpof=true&amp;sd=true" TargetMode="External"/><Relationship Id="rId17" Type="http://schemas.openxmlformats.org/officeDocument/2006/relationships/hyperlink" Target="https://www.parliament.scot/bills-and-laws/bills/scottish-elections-franchise-and-representation-bi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-bpr-en-prod-cdnep.azureedge.net/published/SPPA/2019/11/13/Stage-1-Report-on-the-Scottish-Elections--Franchise-and-Representations--Bill-1/SPPAS052019R14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-ac-uk.zoom.us/rec/share/XFnn2vLsx7IIuQNZMWa-D4xvobSiuqIxD4pAKVpKVj5sLDkObJv6Kod6Mjy8HaOt.RyeOVpcS5fQBbO2N?startTime=164685252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gov.uk/asp/2020/6/contents/enacted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Users/jackliddall/Downloads/Commons-2021-07-06-Northern%20Ireland%20(Ministers,%20Elections%20and%20Petitions%20of%20Concern)%20Bill%20(Third%20sitt%20(1)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ublications.parliament.uk/pa/bills/cbill/58-02/0007/amend/nimepc_day_pbc_0706.pdf" TargetMode="External"/><Relationship Id="rId14" Type="http://schemas.openxmlformats.org/officeDocument/2006/relationships/hyperlink" Target="https://ed-ac-uk.zoom.us/rec/share/Ecw5oa8KczVMozXc0MssVKl51Dy2FrBgO7meCKL2xDyUCBww3zKPlohIBAFHLab1.aSMLkX3HPnTI-x80?startTime=1647975954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A7F77C-9F9A-454F-A52B-4CBCF64F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4648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Liddall</dc:creator>
  <cp:keywords/>
  <dc:description/>
  <cp:lastModifiedBy>GEDDES Marc</cp:lastModifiedBy>
  <cp:revision>3</cp:revision>
  <cp:lastPrinted>2022-04-03T10:02:00Z</cp:lastPrinted>
  <dcterms:created xsi:type="dcterms:W3CDTF">2022-05-12T14:31:00Z</dcterms:created>
  <dcterms:modified xsi:type="dcterms:W3CDTF">2022-05-12T14:32:00Z</dcterms:modified>
</cp:coreProperties>
</file>